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D0EE4" w14:textId="77777777" w:rsidR="0093146C" w:rsidRPr="005D53CC" w:rsidRDefault="00000000" w:rsidP="0093146C">
      <w:pPr>
        <w:rPr>
          <w:rFonts w:ascii="Times New Roman" w:hAnsi="Times New Roman" w:cs="Times New Roman"/>
          <w:b/>
          <w:color w:val="000000" w:themeColor="text1"/>
          <w:sz w:val="24"/>
          <w:szCs w:val="24"/>
        </w:rPr>
      </w:pPr>
      <w:r>
        <w:rPr>
          <w:rFonts w:ascii="Times New Roman" w:hAnsi="Times New Roman" w:cs="Times New Roman"/>
          <w:noProof/>
        </w:rPr>
        <w:pict w14:anchorId="6E9F8BEE">
          <v:rect id="_x0000_s2072" style="position:absolute;margin-left:54.2pt;margin-top:2.05pt;width:342.6pt;height:59.85pt;z-index:251716608" stroked="f">
            <v:textbox style="mso-next-textbox:#_x0000_s2072" inset="0,0,0,0">
              <w:txbxContent>
                <w:p w14:paraId="77A09392" w14:textId="77777777" w:rsidR="0093146C" w:rsidRPr="00623894" w:rsidRDefault="0093146C" w:rsidP="0093146C">
                  <w:pPr>
                    <w:shd w:val="clear" w:color="auto" w:fill="D9D9D9" w:themeFill="background1" w:themeFillShade="D9"/>
                    <w:spacing w:after="0" w:line="240" w:lineRule="auto"/>
                    <w:jc w:val="center"/>
                    <w:rPr>
                      <w:rFonts w:ascii="Britannic Bold" w:hAnsi="Britannic Bold" w:cs="Times New Roman"/>
                      <w:b/>
                      <w:color w:val="000000" w:themeColor="text1"/>
                      <w:sz w:val="24"/>
                      <w:szCs w:val="24"/>
                    </w:rPr>
                  </w:pPr>
                </w:p>
                <w:p w14:paraId="664A33B6" w14:textId="77777777" w:rsidR="0093146C" w:rsidRPr="00623894" w:rsidRDefault="0093146C" w:rsidP="0093146C">
                  <w:pPr>
                    <w:shd w:val="clear" w:color="auto" w:fill="D9D9D9" w:themeFill="background1" w:themeFillShade="D9"/>
                    <w:spacing w:after="0" w:line="240" w:lineRule="auto"/>
                    <w:jc w:val="center"/>
                    <w:rPr>
                      <w:rFonts w:ascii="Franklin Gothic Book" w:hAnsi="Franklin Gothic Book" w:cs="Tahoma"/>
                      <w:b/>
                      <w:color w:val="000000" w:themeColor="text1"/>
                      <w:sz w:val="30"/>
                      <w:szCs w:val="28"/>
                    </w:rPr>
                  </w:pPr>
                  <w:proofErr w:type="spellStart"/>
                  <w:r w:rsidRPr="00623894">
                    <w:rPr>
                      <w:rFonts w:ascii="Franklin Gothic Book" w:hAnsi="Franklin Gothic Book" w:cs="Tahoma"/>
                      <w:b/>
                      <w:color w:val="000000" w:themeColor="text1"/>
                      <w:sz w:val="30"/>
                      <w:szCs w:val="28"/>
                    </w:rPr>
                    <w:t>Healthmed</w:t>
                  </w:r>
                  <w:proofErr w:type="spellEnd"/>
                  <w:r w:rsidRPr="00623894">
                    <w:rPr>
                      <w:rFonts w:ascii="Franklin Gothic Book" w:hAnsi="Franklin Gothic Book" w:cs="Tahoma"/>
                      <w:b/>
                      <w:color w:val="000000" w:themeColor="text1"/>
                      <w:sz w:val="30"/>
                      <w:szCs w:val="28"/>
                    </w:rPr>
                    <w:t xml:space="preserve"> Journal of Pharmaceutical Sciences</w:t>
                  </w:r>
                </w:p>
                <w:p w14:paraId="47AEA7B5" w14:textId="77777777" w:rsidR="0093146C" w:rsidRDefault="0093146C" w:rsidP="0093146C">
                  <w:pPr>
                    <w:shd w:val="clear" w:color="auto" w:fill="D9D9D9" w:themeFill="background1" w:themeFillShade="D9"/>
                    <w:spacing w:after="0" w:line="240" w:lineRule="auto"/>
                    <w:jc w:val="center"/>
                    <w:rPr>
                      <w:rFonts w:ascii="Franklin Gothic Book" w:hAnsi="Franklin Gothic Book" w:cs="Times New Roman"/>
                      <w:b/>
                      <w:color w:val="000000" w:themeColor="text1"/>
                      <w:sz w:val="20"/>
                      <w:szCs w:val="24"/>
                    </w:rPr>
                  </w:pPr>
                </w:p>
                <w:p w14:paraId="12649563" w14:textId="77777777" w:rsidR="0093146C" w:rsidRPr="009A639D" w:rsidRDefault="0093146C" w:rsidP="0093146C">
                  <w:pPr>
                    <w:shd w:val="clear" w:color="auto" w:fill="D9D9D9" w:themeFill="background1" w:themeFillShade="D9"/>
                    <w:spacing w:after="0" w:line="240" w:lineRule="auto"/>
                    <w:jc w:val="center"/>
                    <w:rPr>
                      <w:rFonts w:ascii="BreveNewsregular" w:hAnsi="BreveNewsregular" w:cs="Times New Roman"/>
                      <w:color w:val="000000" w:themeColor="text1"/>
                      <w:sz w:val="20"/>
                      <w:szCs w:val="24"/>
                    </w:rPr>
                  </w:pPr>
                  <w:r w:rsidRPr="009A639D">
                    <w:rPr>
                      <w:rFonts w:ascii="BreveNewsregular" w:hAnsi="BreveNewsregular" w:cs="Times New Roman"/>
                      <w:color w:val="000000" w:themeColor="text1"/>
                      <w:sz w:val="20"/>
                      <w:szCs w:val="24"/>
                    </w:rPr>
                    <w:t>Journal Homepage: http://ps.healthmedsci.org/</w:t>
                  </w:r>
                </w:p>
              </w:txbxContent>
            </v:textbox>
          </v:rect>
        </w:pict>
      </w:r>
      <w:r>
        <w:rPr>
          <w:rFonts w:ascii="Times New Roman" w:hAnsi="Times New Roman" w:cs="Times New Roman"/>
          <w:noProof/>
        </w:rPr>
        <w:pict w14:anchorId="79C81967">
          <v:shapetype id="_x0000_t32" coordsize="21600,21600" o:spt="32" o:oned="t" path="m,l21600,21600e" filled="f">
            <v:path arrowok="t" fillok="f" o:connecttype="none"/>
            <o:lock v:ext="edit" shapetype="t"/>
          </v:shapetype>
          <v:shape id="_x0000_s2073" type="#_x0000_t32" style="position:absolute;margin-left:.7pt;margin-top:-.45pt;width:506.75pt;height:0;z-index:251718656" o:connectortype="straight" strokeweight="1pt"/>
        </w:pict>
      </w:r>
      <w:r w:rsidR="0093146C" w:rsidRPr="005D53CC">
        <w:rPr>
          <w:rFonts w:ascii="Times New Roman" w:hAnsi="Times New Roman" w:cs="Times New Roman"/>
          <w:noProof/>
        </w:rPr>
        <w:drawing>
          <wp:anchor distT="0" distB="0" distL="114300" distR="114300" simplePos="0" relativeHeight="251666432" behindDoc="0" locked="0" layoutInCell="1" allowOverlap="1" wp14:anchorId="098E84E0" wp14:editId="3B8C363B">
            <wp:simplePos x="0" y="0"/>
            <wp:positionH relativeFrom="column">
              <wp:posOffset>5052060</wp:posOffset>
            </wp:positionH>
            <wp:positionV relativeFrom="paragraph">
              <wp:posOffset>270510</wp:posOffset>
            </wp:positionV>
            <wp:extent cx="1466215" cy="257175"/>
            <wp:effectExtent l="0" t="0" r="635" b="0"/>
            <wp:wrapNone/>
            <wp:docPr id="30" name="Picture 1" descr="F:\F Drive-14 April 2019\HEALTH MED SCIENCE RES LTD\HMS RESEARCH NETWOR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 Drive-14 April 2019\HEALTH MED SCIENCE RES LTD\HMS RESEARCH NETWORK\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215" cy="257175"/>
                    </a:xfrm>
                    <a:prstGeom prst="rect">
                      <a:avLst/>
                    </a:prstGeom>
                    <a:noFill/>
                    <a:ln>
                      <a:noFill/>
                    </a:ln>
                  </pic:spPr>
                </pic:pic>
              </a:graphicData>
            </a:graphic>
          </wp:anchor>
        </w:drawing>
      </w:r>
      <w:r>
        <w:rPr>
          <w:rFonts w:ascii="Times New Roman" w:hAnsi="Times New Roman" w:cs="Times New Roman"/>
          <w:noProof/>
        </w:rPr>
        <w:pict w14:anchorId="0C836CA6">
          <v:rect id="_x0000_s2071" style="position:absolute;margin-left:.7pt;margin-top:2.05pt;width:47.3pt;height:59.85pt;z-index:251715584;mso-position-horizontal-relative:text;mso-position-vertical-relative:text" stroked="f">
            <v:textbox style="mso-next-textbox:#_x0000_s2071" inset="0,0,0,0">
              <w:txbxContent>
                <w:p w14:paraId="37C3A725" w14:textId="77777777" w:rsidR="0093146C" w:rsidRDefault="0093146C" w:rsidP="0093146C">
                  <w:r>
                    <w:rPr>
                      <w:noProof/>
                    </w:rPr>
                    <w:drawing>
                      <wp:inline distT="0" distB="0" distL="0" distR="0" wp14:anchorId="67F00869" wp14:editId="7E7F9967">
                        <wp:extent cx="660400" cy="768350"/>
                        <wp:effectExtent l="0" t="0" r="0" b="0"/>
                        <wp:docPr id="1913101791" name="Picture 4" descr="kEd5AbW8FY0Am0AA57v1DhNKdIi66cUqfG8Teu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d5AbW8FY0Am0AA57v1DhNKdIi66cUqfG8TeuOZ.jpg"/>
                                <pic:cNvPicPr/>
                              </pic:nvPicPr>
                              <pic:blipFill>
                                <a:blip r:embed="rId9"/>
                                <a:stretch>
                                  <a:fillRect/>
                                </a:stretch>
                              </pic:blipFill>
                              <pic:spPr>
                                <a:xfrm>
                                  <a:off x="0" y="0"/>
                                  <a:ext cx="663559" cy="772025"/>
                                </a:xfrm>
                                <a:prstGeom prst="rect">
                                  <a:avLst/>
                                </a:prstGeom>
                              </pic:spPr>
                            </pic:pic>
                          </a:graphicData>
                        </a:graphic>
                      </wp:inline>
                    </w:drawing>
                  </w:r>
                </w:p>
              </w:txbxContent>
            </v:textbox>
          </v:rect>
        </w:pict>
      </w:r>
    </w:p>
    <w:p w14:paraId="5BA0E7B7" w14:textId="77777777" w:rsidR="0093146C" w:rsidRPr="005D53CC" w:rsidRDefault="0093146C" w:rsidP="0093146C">
      <w:pPr>
        <w:rPr>
          <w:rFonts w:ascii="Times New Roman" w:hAnsi="Times New Roman" w:cs="Times New Roman"/>
        </w:rPr>
      </w:pPr>
    </w:p>
    <w:p w14:paraId="7A4BDF09" w14:textId="77777777" w:rsidR="0093146C" w:rsidRPr="005D53CC" w:rsidRDefault="00000000" w:rsidP="0093146C">
      <w:pPr>
        <w:rPr>
          <w:rFonts w:ascii="Times New Roman" w:hAnsi="Times New Roman" w:cs="Times New Roman"/>
          <w:bCs/>
          <w:sz w:val="40"/>
          <w:szCs w:val="40"/>
        </w:rPr>
      </w:pPr>
      <w:r>
        <w:rPr>
          <w:rFonts w:ascii="Times New Roman" w:hAnsi="Times New Roman" w:cs="Times New Roman"/>
          <w:noProof/>
        </w:rPr>
        <w:pict w14:anchorId="28EBC2E5">
          <v:shape id="_x0000_s2074" type="#_x0000_t32" style="position:absolute;margin-left:1.3pt;margin-top:17.65pt;width:506.75pt;height:0;z-index:251719680" o:connectortype="straight" strokecolor="black [3213]" strokeweight="2.5pt"/>
        </w:pict>
      </w:r>
    </w:p>
    <w:p w14:paraId="4BB4F644" w14:textId="3EBB18AC" w:rsidR="0093146C" w:rsidRPr="005D53CC" w:rsidRDefault="00131412" w:rsidP="0093146C">
      <w:pPr>
        <w:spacing w:after="0"/>
        <w:ind w:right="-108"/>
        <w:rPr>
          <w:rFonts w:ascii="Times New Roman" w:hAnsi="Times New Roman" w:cs="Times New Roman"/>
          <w:b/>
          <w:color w:val="FF0000"/>
          <w:sz w:val="24"/>
          <w:szCs w:val="24"/>
        </w:rPr>
      </w:pPr>
      <w:r w:rsidRPr="005D53CC">
        <w:rPr>
          <w:rFonts w:ascii="Times New Roman" w:hAnsi="Times New Roman" w:cs="Times New Roman"/>
          <w:b/>
          <w:sz w:val="24"/>
          <w:szCs w:val="24"/>
        </w:rPr>
        <w:t xml:space="preserve">Research </w:t>
      </w:r>
      <w:r w:rsidR="0093146C" w:rsidRPr="005D53CC">
        <w:rPr>
          <w:rFonts w:ascii="Times New Roman" w:hAnsi="Times New Roman" w:cs="Times New Roman"/>
          <w:b/>
          <w:sz w:val="24"/>
          <w:szCs w:val="24"/>
        </w:rPr>
        <w:t>Article</w:t>
      </w:r>
    </w:p>
    <w:p w14:paraId="18B48A94" w14:textId="77777777" w:rsidR="001C08C3" w:rsidRPr="005D53CC" w:rsidRDefault="001C08C3" w:rsidP="0093146C">
      <w:pPr>
        <w:spacing w:after="0" w:line="240" w:lineRule="auto"/>
        <w:jc w:val="center"/>
        <w:rPr>
          <w:rFonts w:ascii="Times New Roman" w:hAnsi="Times New Roman" w:cs="Times New Roman"/>
          <w:bCs/>
          <w:sz w:val="40"/>
          <w:szCs w:val="40"/>
        </w:rPr>
      </w:pPr>
    </w:p>
    <w:p w14:paraId="50216F6F" w14:textId="20436EC9" w:rsidR="00C321B6" w:rsidRPr="005D53CC" w:rsidRDefault="00EA1948" w:rsidP="005222B8">
      <w:pPr>
        <w:jc w:val="center"/>
        <w:rPr>
          <w:rFonts w:ascii="Times New Roman" w:hAnsi="Times New Roman" w:cs="Times New Roman"/>
          <w:b/>
          <w:sz w:val="40"/>
          <w:szCs w:val="40"/>
        </w:rPr>
      </w:pPr>
      <w:r>
        <w:rPr>
          <w:rFonts w:ascii="Times New Roman" w:hAnsi="Times New Roman" w:cs="Times New Roman"/>
          <w:b/>
          <w:sz w:val="40"/>
          <w:szCs w:val="40"/>
        </w:rPr>
        <w:t>Self-medication</w:t>
      </w:r>
      <w:r w:rsidR="00C321B6" w:rsidRPr="005D53CC">
        <w:rPr>
          <w:rFonts w:ascii="Times New Roman" w:hAnsi="Times New Roman" w:cs="Times New Roman"/>
          <w:b/>
          <w:sz w:val="40"/>
          <w:szCs w:val="40"/>
        </w:rPr>
        <w:t xml:space="preserve"> Practices in Bangladesh: A Comparative Cross</w:t>
      </w:r>
      <w:r w:rsidR="00F5015C">
        <w:rPr>
          <w:rFonts w:ascii="Times New Roman" w:hAnsi="Times New Roman" w:cs="Times New Roman"/>
          <w:b/>
          <w:sz w:val="40"/>
          <w:szCs w:val="40"/>
        </w:rPr>
        <w:t>-</w:t>
      </w:r>
      <w:r w:rsidR="00C321B6" w:rsidRPr="005D53CC">
        <w:rPr>
          <w:rFonts w:ascii="Times New Roman" w:hAnsi="Times New Roman" w:cs="Times New Roman"/>
          <w:b/>
          <w:sz w:val="40"/>
          <w:szCs w:val="40"/>
        </w:rPr>
        <w:t>Sectional Study Between Urban and Rural Communities</w:t>
      </w:r>
    </w:p>
    <w:p w14:paraId="7B8F120D" w14:textId="79C0D9BB" w:rsidR="001C08C3" w:rsidRDefault="001C08C3" w:rsidP="00614B46">
      <w:pPr>
        <w:pStyle w:val="Heading3"/>
        <w:spacing w:before="0" w:after="0"/>
        <w:jc w:val="center"/>
      </w:pPr>
    </w:p>
    <w:p w14:paraId="2EF44B95" w14:textId="77777777" w:rsidR="009D5663" w:rsidRPr="009D5663" w:rsidRDefault="009D5663" w:rsidP="009D5663"/>
    <w:p w14:paraId="67D7CA8B" w14:textId="596A9A2D" w:rsidR="0093146C" w:rsidRPr="005D53CC" w:rsidRDefault="0093146C" w:rsidP="00614B46">
      <w:pPr>
        <w:pStyle w:val="Heading3"/>
        <w:spacing w:before="0" w:after="0"/>
        <w:jc w:val="center"/>
        <w:rPr>
          <w:b w:val="0"/>
          <w:bCs/>
          <w:color w:val="FF0000"/>
          <w:sz w:val="24"/>
          <w:szCs w:val="24"/>
        </w:rPr>
      </w:pPr>
      <w:r w:rsidRPr="005D53CC">
        <w:t>Abstract</w:t>
      </w:r>
    </w:p>
    <w:p w14:paraId="01BF5E81" w14:textId="77777777" w:rsidR="00614B46" w:rsidRPr="005D53CC" w:rsidRDefault="00614B46" w:rsidP="00614B46">
      <w:pPr>
        <w:spacing w:after="0" w:line="240" w:lineRule="auto"/>
        <w:jc w:val="both"/>
        <w:rPr>
          <w:rFonts w:ascii="Times New Roman" w:hAnsi="Times New Roman" w:cs="Times New Roman"/>
          <w:color w:val="000000" w:themeColor="text1"/>
        </w:rPr>
      </w:pPr>
    </w:p>
    <w:p w14:paraId="6FE65C4F" w14:textId="1B6F8151" w:rsidR="003C404E" w:rsidRPr="005D53CC" w:rsidRDefault="00EA1948" w:rsidP="0093146C">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Self-medication</w:t>
      </w:r>
      <w:r w:rsidR="00F40FEB">
        <w:rPr>
          <w:rFonts w:ascii="Times New Roman" w:hAnsi="Times New Roman" w:cs="Times New Roman"/>
          <w:color w:val="000000" w:themeColor="text1"/>
        </w:rPr>
        <w:t xml:space="preserve"> (SM)</w:t>
      </w:r>
      <w:r w:rsidR="00963440" w:rsidRPr="005D53CC">
        <w:rPr>
          <w:rFonts w:ascii="Times New Roman" w:hAnsi="Times New Roman" w:cs="Times New Roman"/>
          <w:color w:val="000000" w:themeColor="text1"/>
        </w:rPr>
        <w:t xml:space="preserve"> is widely practiced in Bangladesh and constitutes a growing public health concern due to inappropriate medicine use and limited regulatory enforcement. Of particular concern is the misuse of </w:t>
      </w:r>
      <w:proofErr w:type="gramStart"/>
      <w:r w:rsidR="00154033" w:rsidRPr="005D53CC">
        <w:rPr>
          <w:rFonts w:ascii="Times New Roman" w:hAnsi="Times New Roman" w:cs="Times New Roman"/>
          <w:color w:val="000000" w:themeColor="text1"/>
        </w:rPr>
        <w:t>prescription</w:t>
      </w:r>
      <w:r w:rsidR="00942C61">
        <w:rPr>
          <w:rFonts w:ascii="Times New Roman" w:hAnsi="Times New Roman" w:cs="Times New Roman"/>
          <w:color w:val="000000" w:themeColor="text1"/>
        </w:rPr>
        <w:t xml:space="preserve"> </w:t>
      </w:r>
      <w:r w:rsidR="00154033" w:rsidRPr="005D53CC">
        <w:rPr>
          <w:rFonts w:ascii="Times New Roman" w:hAnsi="Times New Roman" w:cs="Times New Roman"/>
          <w:color w:val="000000" w:themeColor="text1"/>
        </w:rPr>
        <w:t>only</w:t>
      </w:r>
      <w:proofErr w:type="gramEnd"/>
      <w:r w:rsidR="00154033"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 xml:space="preserve">medicines, including antibiotics, driven by decisions made without consultation from qualified healthcare practitioners. Evidence comparing determinants of </w:t>
      </w:r>
      <w:r w:rsidR="009C7E10">
        <w:rPr>
          <w:rFonts w:ascii="Times New Roman" w:hAnsi="Times New Roman" w:cs="Times New Roman"/>
          <w:color w:val="000000" w:themeColor="text1"/>
        </w:rPr>
        <w:t>s</w:t>
      </w:r>
      <w:r>
        <w:rPr>
          <w:rFonts w:ascii="Times New Roman" w:hAnsi="Times New Roman" w:cs="Times New Roman"/>
          <w:color w:val="000000" w:themeColor="text1"/>
        </w:rPr>
        <w:t>elf-medication</w:t>
      </w:r>
      <w:r w:rsidR="00154033"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 xml:space="preserve">between urban and rural populations remains limited. This study evaluated the prevalence and determinants of </w:t>
      </w:r>
      <w:r w:rsidR="009C7E10">
        <w:rPr>
          <w:rFonts w:ascii="Times New Roman" w:hAnsi="Times New Roman" w:cs="Times New Roman"/>
          <w:color w:val="000000" w:themeColor="text1"/>
        </w:rPr>
        <w:t>s</w:t>
      </w:r>
      <w:r>
        <w:rPr>
          <w:rFonts w:ascii="Times New Roman" w:hAnsi="Times New Roman" w:cs="Times New Roman"/>
          <w:color w:val="000000" w:themeColor="text1"/>
        </w:rPr>
        <w:t>elf-medication</w:t>
      </w:r>
      <w:r w:rsidR="00154033"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practices in Bangladesh, with a specific focus on decision</w:t>
      </w:r>
      <w:r w:rsidR="00087427"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making influenced by unqualified pharmacy dispensers and the misuse of antibiotics without professional supervision. A community</w:t>
      </w:r>
      <w:r w:rsidR="001429AA"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based cross-sectional survey was conducted using a structured questionnaire administered through face</w:t>
      </w:r>
      <w:r w:rsidR="007E0A29" w:rsidRPr="005D53CC">
        <w:rPr>
          <w:rFonts w:ascii="Times New Roman" w:hAnsi="Times New Roman" w:cs="Times New Roman"/>
          <w:color w:val="000000" w:themeColor="text1"/>
        </w:rPr>
        <w:t>-</w:t>
      </w:r>
      <w:r w:rsidR="00963440" w:rsidRPr="005D53CC">
        <w:rPr>
          <w:rFonts w:ascii="Times New Roman" w:hAnsi="Times New Roman" w:cs="Times New Roman"/>
          <w:color w:val="000000" w:themeColor="text1"/>
        </w:rPr>
        <w:t>to</w:t>
      </w:r>
      <w:r w:rsidR="007E0A29" w:rsidRPr="005D53CC">
        <w:rPr>
          <w:rFonts w:ascii="Times New Roman" w:hAnsi="Times New Roman" w:cs="Times New Roman"/>
          <w:color w:val="000000" w:themeColor="text1"/>
        </w:rPr>
        <w:t>-</w:t>
      </w:r>
      <w:r w:rsidR="00963440" w:rsidRPr="005D53CC">
        <w:rPr>
          <w:rFonts w:ascii="Times New Roman" w:hAnsi="Times New Roman" w:cs="Times New Roman"/>
          <w:color w:val="000000" w:themeColor="text1"/>
        </w:rPr>
        <w:t xml:space="preserve">face interviews. A total of 530 respondents from urban and rural communities were included. Data were analyzed descriptively to assess sociodemographic characteristics, frequency of </w:t>
      </w:r>
      <w:r w:rsidR="0003190B">
        <w:rPr>
          <w:rFonts w:ascii="Times New Roman" w:hAnsi="Times New Roman" w:cs="Times New Roman"/>
          <w:color w:val="000000" w:themeColor="text1"/>
        </w:rPr>
        <w:t>s</w:t>
      </w:r>
      <w:r w:rsidR="009B6150" w:rsidRPr="005D53CC">
        <w:rPr>
          <w:rFonts w:ascii="Times New Roman" w:hAnsi="Times New Roman" w:cs="Times New Roman"/>
          <w:color w:val="000000" w:themeColor="text1"/>
        </w:rPr>
        <w:t>elf-medication</w:t>
      </w:r>
      <w:r w:rsidR="00963440" w:rsidRPr="005D53CC">
        <w:rPr>
          <w:rFonts w:ascii="Times New Roman" w:hAnsi="Times New Roman" w:cs="Times New Roman"/>
          <w:color w:val="000000" w:themeColor="text1"/>
        </w:rPr>
        <w:t>, sources of treatment decisions, indications for medicine use, and categories of drugs obtained without prescription.</w:t>
      </w:r>
      <w:r w:rsidR="00A4561B">
        <w:rPr>
          <w:rFonts w:ascii="Times New Roman" w:hAnsi="Times New Roman" w:cs="Times New Roman"/>
          <w:color w:val="000000" w:themeColor="text1"/>
        </w:rPr>
        <w:t xml:space="preserve"> </w:t>
      </w:r>
      <w:r w:rsidR="00831105" w:rsidRPr="00831105">
        <w:rPr>
          <w:rFonts w:ascii="Times New Roman" w:hAnsi="Times New Roman" w:cs="Times New Roman"/>
          <w:color w:val="3333FF"/>
        </w:rPr>
        <w:t>Self-medication, defined as the use of medicines without consultation with a registered physician within the preceding six months, was commonly reported, with most respondents indicating weekly or monthly practice</w:t>
      </w:r>
      <w:r w:rsidR="00963440" w:rsidRPr="005D53CC">
        <w:rPr>
          <w:rFonts w:ascii="Times New Roman" w:hAnsi="Times New Roman" w:cs="Times New Roman"/>
          <w:color w:val="000000" w:themeColor="text1"/>
        </w:rPr>
        <w:t>. Decision</w:t>
      </w:r>
      <w:r w:rsidR="001429AA"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 xml:space="preserve">making was largely influenced by advice from retail or community pharmacy dispensers who were not licensed medical practitioners, followed by reuse of </w:t>
      </w:r>
      <w:r w:rsidR="001429AA" w:rsidRPr="005D53CC">
        <w:rPr>
          <w:rFonts w:ascii="Times New Roman" w:hAnsi="Times New Roman" w:cs="Times New Roman"/>
          <w:color w:val="000000" w:themeColor="text1"/>
        </w:rPr>
        <w:t>old</w:t>
      </w:r>
      <w:r w:rsidR="00963440" w:rsidRPr="005D53CC">
        <w:rPr>
          <w:rFonts w:ascii="Times New Roman" w:hAnsi="Times New Roman" w:cs="Times New Roman"/>
          <w:color w:val="000000" w:themeColor="text1"/>
        </w:rPr>
        <w:t xml:space="preserve"> prescriptions and personal experience with similar illnesses. Higher educational attainment did not prevent </w:t>
      </w:r>
      <w:r w:rsidR="009C7E10">
        <w:rPr>
          <w:rFonts w:ascii="Times New Roman" w:hAnsi="Times New Roman" w:cs="Times New Roman"/>
          <w:color w:val="000000" w:themeColor="text1"/>
        </w:rPr>
        <w:t>s</w:t>
      </w:r>
      <w:r>
        <w:rPr>
          <w:rFonts w:ascii="Times New Roman" w:hAnsi="Times New Roman" w:cs="Times New Roman"/>
          <w:color w:val="000000" w:themeColor="text1"/>
        </w:rPr>
        <w:t>elf-medication</w:t>
      </w:r>
      <w:r w:rsidR="00154033"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 xml:space="preserve">and was associated with greater confidence in </w:t>
      </w:r>
      <w:r w:rsidR="009B6150" w:rsidRPr="005D53CC">
        <w:rPr>
          <w:rFonts w:ascii="Times New Roman" w:hAnsi="Times New Roman" w:cs="Times New Roman"/>
          <w:color w:val="000000" w:themeColor="text1"/>
        </w:rPr>
        <w:t>self-directed</w:t>
      </w:r>
      <w:r w:rsidR="00963440" w:rsidRPr="005D53CC">
        <w:rPr>
          <w:rFonts w:ascii="Times New Roman" w:hAnsi="Times New Roman" w:cs="Times New Roman"/>
          <w:color w:val="000000" w:themeColor="text1"/>
        </w:rPr>
        <w:t xml:space="preserve"> treatment decisions. Pain</w:t>
      </w:r>
      <w:r w:rsidR="00020C31"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related conditions, febrile illness, and gastrointestinal complaints were the most common indications. A substantial proportion of respondents reported using prescription</w:t>
      </w:r>
      <w:r w:rsidR="00C922D1"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only medicines, including antibiotics, without physician consultation.</w:t>
      </w:r>
      <w:r w:rsidR="00EE5172" w:rsidRPr="00EE5172">
        <w:t xml:space="preserve"> </w:t>
      </w:r>
      <w:r w:rsidR="002154C5" w:rsidRPr="002154C5">
        <w:rPr>
          <w:rFonts w:ascii="Times New Roman" w:hAnsi="Times New Roman" w:cs="Times New Roman"/>
          <w:color w:val="000000" w:themeColor="text1"/>
        </w:rPr>
        <w:t>Antibiotic misuse was significantly higher among rural respondents (68%) compared to urban respondents (32%), reflecting limited access to qualified healthcare providers and greater reliance on nonprofessional dispensers in rural communities</w:t>
      </w:r>
      <w:r w:rsidR="00963440" w:rsidRPr="005D53CC">
        <w:rPr>
          <w:rFonts w:ascii="Times New Roman" w:hAnsi="Times New Roman" w:cs="Times New Roman"/>
          <w:color w:val="000000" w:themeColor="text1"/>
        </w:rPr>
        <w:t xml:space="preserve">. </w:t>
      </w:r>
      <w:r w:rsidR="00655E57">
        <w:rPr>
          <w:rFonts w:ascii="Times New Roman" w:hAnsi="Times New Roman" w:cs="Times New Roman"/>
          <w:color w:val="000000" w:themeColor="text1"/>
        </w:rPr>
        <w:t>S</w:t>
      </w:r>
      <w:r>
        <w:rPr>
          <w:rFonts w:ascii="Times New Roman" w:hAnsi="Times New Roman" w:cs="Times New Roman"/>
          <w:color w:val="000000" w:themeColor="text1"/>
        </w:rPr>
        <w:t>elf-medication</w:t>
      </w:r>
      <w:r w:rsidR="00154033" w:rsidRPr="005D53CC">
        <w:rPr>
          <w:rFonts w:ascii="Times New Roman" w:hAnsi="Times New Roman" w:cs="Times New Roman"/>
          <w:color w:val="000000" w:themeColor="text1"/>
        </w:rPr>
        <w:t xml:space="preserve"> </w:t>
      </w:r>
      <w:r w:rsidR="00963440" w:rsidRPr="005D53CC">
        <w:rPr>
          <w:rFonts w:ascii="Times New Roman" w:hAnsi="Times New Roman" w:cs="Times New Roman"/>
          <w:color w:val="000000" w:themeColor="text1"/>
        </w:rPr>
        <w:t xml:space="preserve">in Bangladesh is driven primarily by </w:t>
      </w:r>
      <w:r w:rsidR="00C57C1E" w:rsidRPr="005D53CC">
        <w:rPr>
          <w:rFonts w:ascii="Times New Roman" w:hAnsi="Times New Roman" w:cs="Times New Roman"/>
          <w:color w:val="000000" w:themeColor="text1"/>
        </w:rPr>
        <w:t>nonprofessional</w:t>
      </w:r>
      <w:r w:rsidR="00963440" w:rsidRPr="005D53CC">
        <w:rPr>
          <w:rFonts w:ascii="Times New Roman" w:hAnsi="Times New Roman" w:cs="Times New Roman"/>
          <w:color w:val="000000" w:themeColor="text1"/>
        </w:rPr>
        <w:t xml:space="preserve"> treatment advice and inappropriate access to prescription medicines, including antibiotics. These practices pose significant risks for antimicrobial resistance and unsafe drug use. Strengthening regulation of pharmacy dispensing, restricting </w:t>
      </w:r>
      <w:r w:rsidR="00154033" w:rsidRPr="005D53CC">
        <w:rPr>
          <w:rFonts w:ascii="Times New Roman" w:hAnsi="Times New Roman" w:cs="Times New Roman"/>
          <w:color w:val="000000" w:themeColor="text1"/>
        </w:rPr>
        <w:t>nonprescription</w:t>
      </w:r>
      <w:r w:rsidR="00963440" w:rsidRPr="005D53CC">
        <w:rPr>
          <w:rFonts w:ascii="Times New Roman" w:hAnsi="Times New Roman" w:cs="Times New Roman"/>
          <w:color w:val="000000" w:themeColor="text1"/>
        </w:rPr>
        <w:t xml:space="preserve"> antibiotic sales, and implementing targeted public health education are critical to promoting rational medicine use.</w:t>
      </w:r>
    </w:p>
    <w:p w14:paraId="111A5D88" w14:textId="77777777" w:rsidR="00963440" w:rsidRPr="005D53CC" w:rsidRDefault="00963440" w:rsidP="0093146C">
      <w:pPr>
        <w:spacing w:after="0" w:line="240" w:lineRule="auto"/>
        <w:jc w:val="both"/>
        <w:rPr>
          <w:rFonts w:ascii="Times New Roman" w:hAnsi="Times New Roman" w:cs="Times New Roman"/>
          <w:color w:val="000000" w:themeColor="text1"/>
        </w:rPr>
      </w:pPr>
    </w:p>
    <w:p w14:paraId="18B06F3D" w14:textId="77777777" w:rsidR="00963440" w:rsidRPr="005D53CC" w:rsidRDefault="00963440" w:rsidP="0093146C">
      <w:pPr>
        <w:spacing w:after="0" w:line="240" w:lineRule="auto"/>
        <w:jc w:val="both"/>
        <w:rPr>
          <w:rFonts w:ascii="Times New Roman" w:hAnsi="Times New Roman" w:cs="Times New Roman"/>
          <w:color w:val="000000" w:themeColor="text1"/>
        </w:rPr>
      </w:pPr>
    </w:p>
    <w:p w14:paraId="33A1251D" w14:textId="77777777" w:rsidR="003C404E" w:rsidRPr="005D53CC" w:rsidRDefault="003C404E" w:rsidP="0093146C">
      <w:pPr>
        <w:spacing w:after="0" w:line="240" w:lineRule="auto"/>
        <w:jc w:val="both"/>
        <w:rPr>
          <w:rFonts w:ascii="Times New Roman" w:hAnsi="Times New Roman" w:cs="Times New Roman"/>
          <w:b/>
          <w:bCs/>
        </w:rPr>
      </w:pPr>
    </w:p>
    <w:p w14:paraId="17D8EBF4" w14:textId="0E962E52" w:rsidR="00614B46" w:rsidRPr="005D53CC" w:rsidRDefault="0093146C" w:rsidP="0093146C">
      <w:pPr>
        <w:spacing w:after="0" w:line="240" w:lineRule="auto"/>
        <w:jc w:val="both"/>
        <w:rPr>
          <w:rFonts w:ascii="Times New Roman" w:hAnsi="Times New Roman" w:cs="Times New Roman"/>
        </w:rPr>
      </w:pPr>
      <w:r w:rsidRPr="005D53CC">
        <w:rPr>
          <w:rFonts w:ascii="Times New Roman" w:hAnsi="Times New Roman" w:cs="Times New Roman"/>
          <w:b/>
          <w:bCs/>
        </w:rPr>
        <w:t>Keywords</w:t>
      </w:r>
      <w:r w:rsidRPr="005D53CC">
        <w:rPr>
          <w:rFonts w:ascii="Times New Roman" w:hAnsi="Times New Roman" w:cs="Times New Roman"/>
        </w:rPr>
        <w:t xml:space="preserve">: </w:t>
      </w:r>
      <w:r w:rsidR="00EA1948">
        <w:rPr>
          <w:rFonts w:ascii="Times New Roman" w:hAnsi="Times New Roman" w:cs="Times New Roman"/>
        </w:rPr>
        <w:t>Self-medication</w:t>
      </w:r>
      <w:r w:rsidR="00AC686D" w:rsidRPr="00AC686D">
        <w:rPr>
          <w:rFonts w:ascii="Times New Roman" w:hAnsi="Times New Roman" w:cs="Times New Roman"/>
        </w:rPr>
        <w:t xml:space="preserve"> practices; Antibiotic misuse; Prescription-only medicines; Retail pharmacy dispensing; Urban</w:t>
      </w:r>
      <w:r w:rsidR="009D162F">
        <w:rPr>
          <w:rFonts w:ascii="Times New Roman" w:hAnsi="Times New Roman" w:cs="Times New Roman"/>
        </w:rPr>
        <w:t xml:space="preserve"> </w:t>
      </w:r>
      <w:r w:rsidR="00AC686D" w:rsidRPr="00AC686D">
        <w:rPr>
          <w:rFonts w:ascii="Times New Roman" w:hAnsi="Times New Roman" w:cs="Times New Roman"/>
        </w:rPr>
        <w:t>rural comparison; Rational use of medicines; Bangladesh</w:t>
      </w:r>
    </w:p>
    <w:p w14:paraId="02CF978C" w14:textId="6242D4AE" w:rsidR="00614B46" w:rsidRPr="005D53CC" w:rsidRDefault="00614B46" w:rsidP="007247F3">
      <w:pPr>
        <w:pStyle w:val="Heading1"/>
        <w:spacing w:before="0" w:line="240" w:lineRule="auto"/>
        <w:jc w:val="both"/>
        <w:rPr>
          <w:rFonts w:ascii="Times New Roman" w:hAnsi="Times New Roman" w:cs="Times New Roman"/>
          <w:color w:val="000000" w:themeColor="text1"/>
          <w:sz w:val="32"/>
          <w:szCs w:val="32"/>
        </w:rPr>
      </w:pPr>
    </w:p>
    <w:p w14:paraId="53037F2A" w14:textId="48323EF5" w:rsidR="001C08C3" w:rsidRPr="005D53CC" w:rsidRDefault="001C08C3" w:rsidP="001C08C3">
      <w:pPr>
        <w:rPr>
          <w:rFonts w:ascii="Times New Roman" w:hAnsi="Times New Roman" w:cs="Times New Roman"/>
        </w:rPr>
      </w:pPr>
    </w:p>
    <w:p w14:paraId="4AA60888" w14:textId="5EA226D7" w:rsidR="001C08C3" w:rsidRPr="005D53CC" w:rsidRDefault="001C08C3" w:rsidP="001C08C3">
      <w:pPr>
        <w:rPr>
          <w:rFonts w:ascii="Times New Roman" w:hAnsi="Times New Roman" w:cs="Times New Roman"/>
        </w:rPr>
      </w:pPr>
    </w:p>
    <w:p w14:paraId="15E5A089" w14:textId="14414F00" w:rsidR="00873EE0" w:rsidRDefault="002F15C0" w:rsidP="00873EE0">
      <w:pPr>
        <w:pStyle w:val="Heading1"/>
        <w:spacing w:before="0" w:line="240" w:lineRule="auto"/>
        <w:jc w:val="both"/>
        <w:rPr>
          <w:rFonts w:ascii="Times New Roman" w:eastAsiaTheme="minorHAnsi" w:hAnsi="Times New Roman" w:cs="Times New Roman"/>
          <w:b w:val="0"/>
          <w:color w:val="FF0000"/>
          <w:sz w:val="22"/>
          <w:szCs w:val="22"/>
        </w:rPr>
      </w:pPr>
      <w:r w:rsidRPr="005D53CC">
        <w:rPr>
          <w:rFonts w:ascii="Times New Roman" w:hAnsi="Times New Roman" w:cs="Times New Roman"/>
          <w:color w:val="000000" w:themeColor="text1"/>
          <w:sz w:val="32"/>
          <w:szCs w:val="32"/>
        </w:rPr>
        <w:lastRenderedPageBreak/>
        <w:t>Introduction</w:t>
      </w:r>
      <w:r w:rsidR="007247F3" w:rsidRPr="005D53CC">
        <w:rPr>
          <w:rFonts w:ascii="Times New Roman" w:hAnsi="Times New Roman" w:cs="Times New Roman"/>
          <w:sz w:val="32"/>
          <w:szCs w:val="32"/>
        </w:rPr>
        <w:t xml:space="preserve"> </w:t>
      </w:r>
    </w:p>
    <w:p w14:paraId="5AB3AF68" w14:textId="77777777" w:rsidR="001B1B8F" w:rsidRDefault="001B1B8F" w:rsidP="00873EE0">
      <w:pPr>
        <w:pStyle w:val="Heading1"/>
        <w:spacing w:before="0" w:line="240" w:lineRule="auto"/>
        <w:jc w:val="both"/>
        <w:rPr>
          <w:rFonts w:ascii="Times New Roman" w:eastAsiaTheme="minorHAnsi" w:hAnsi="Times New Roman" w:cs="Times New Roman"/>
          <w:b w:val="0"/>
          <w:color w:val="000000" w:themeColor="text1"/>
          <w:sz w:val="22"/>
          <w:szCs w:val="22"/>
        </w:rPr>
      </w:pPr>
    </w:p>
    <w:p w14:paraId="585612F3" w14:textId="79BCCA8E" w:rsidR="009500C4" w:rsidRDefault="00873EE0" w:rsidP="00873EE0">
      <w:pPr>
        <w:pStyle w:val="Heading1"/>
        <w:spacing w:before="0" w:line="240" w:lineRule="auto"/>
        <w:jc w:val="both"/>
        <w:rPr>
          <w:rFonts w:ascii="Times New Roman" w:eastAsiaTheme="minorHAnsi" w:hAnsi="Times New Roman" w:cs="Times New Roman"/>
          <w:b w:val="0"/>
          <w:color w:val="000000" w:themeColor="text1"/>
          <w:sz w:val="22"/>
          <w:szCs w:val="22"/>
        </w:rPr>
      </w:pPr>
      <w:r w:rsidRPr="005D53CC">
        <w:rPr>
          <w:rFonts w:ascii="Times New Roman" w:eastAsiaTheme="minorHAnsi" w:hAnsi="Times New Roman" w:cs="Times New Roman"/>
          <w:b w:val="0"/>
          <w:color w:val="000000" w:themeColor="text1"/>
          <w:sz w:val="22"/>
          <w:szCs w:val="22"/>
        </w:rPr>
        <w:t xml:space="preserve">In recent years there has been an increasing trend in </w:t>
      </w:r>
      <w:r w:rsidR="00383566">
        <w:rPr>
          <w:rFonts w:ascii="Times New Roman" w:eastAsiaTheme="minorHAnsi" w:hAnsi="Times New Roman" w:cs="Times New Roman"/>
          <w:b w:val="0"/>
          <w:color w:val="000000" w:themeColor="text1"/>
          <w:sz w:val="22"/>
          <w:szCs w:val="22"/>
        </w:rPr>
        <w:t>s</w:t>
      </w:r>
      <w:r w:rsidR="00EA1948">
        <w:rPr>
          <w:rFonts w:ascii="Times New Roman" w:eastAsiaTheme="minorHAnsi" w:hAnsi="Times New Roman" w:cs="Times New Roman"/>
          <w:b w:val="0"/>
          <w:color w:val="000000" w:themeColor="text1"/>
          <w:sz w:val="22"/>
          <w:szCs w:val="22"/>
        </w:rPr>
        <w:t>elf-medication</w:t>
      </w:r>
      <w:r w:rsidR="00154033" w:rsidRPr="005D53CC">
        <w:rPr>
          <w:rFonts w:ascii="Times New Roman" w:eastAsiaTheme="minorHAnsi" w:hAnsi="Times New Roman" w:cs="Times New Roman"/>
          <w:b w:val="0"/>
          <w:color w:val="000000" w:themeColor="text1"/>
          <w:sz w:val="22"/>
          <w:szCs w:val="22"/>
        </w:rPr>
        <w:t xml:space="preserve"> </w:t>
      </w:r>
      <w:r w:rsidRPr="005D53CC">
        <w:rPr>
          <w:rFonts w:ascii="Times New Roman" w:eastAsiaTheme="minorHAnsi" w:hAnsi="Times New Roman" w:cs="Times New Roman"/>
          <w:b w:val="0"/>
          <w:color w:val="000000" w:themeColor="text1"/>
          <w:sz w:val="22"/>
          <w:szCs w:val="22"/>
        </w:rPr>
        <w:t>practice in both developed and developing countries (Ali et al.</w:t>
      </w:r>
      <w:r w:rsidR="00691D9D">
        <w:rPr>
          <w:rFonts w:ascii="Times New Roman" w:eastAsiaTheme="minorHAnsi" w:hAnsi="Times New Roman" w:cs="Times New Roman"/>
          <w:b w:val="0"/>
          <w:color w:val="000000" w:themeColor="text1"/>
          <w:sz w:val="22"/>
          <w:szCs w:val="22"/>
        </w:rPr>
        <w:t>;</w:t>
      </w:r>
      <w:r w:rsidRPr="005D53CC">
        <w:rPr>
          <w:rFonts w:ascii="Times New Roman" w:eastAsiaTheme="minorHAnsi" w:hAnsi="Times New Roman" w:cs="Times New Roman"/>
          <w:b w:val="0"/>
          <w:color w:val="000000" w:themeColor="text1"/>
          <w:sz w:val="22"/>
          <w:szCs w:val="22"/>
        </w:rPr>
        <w:t xml:space="preserve"> 2012).</w:t>
      </w:r>
      <w:r w:rsidR="00FB2EFE" w:rsidRPr="005D53CC">
        <w:rPr>
          <w:rFonts w:ascii="Times New Roman" w:eastAsiaTheme="minorHAnsi" w:hAnsi="Times New Roman" w:cs="Times New Roman"/>
          <w:b w:val="0"/>
          <w:color w:val="000000" w:themeColor="text1"/>
          <w:sz w:val="22"/>
          <w:szCs w:val="22"/>
        </w:rPr>
        <w:t xml:space="preserve"> </w:t>
      </w:r>
      <w:r w:rsidR="00B12FD8">
        <w:rPr>
          <w:rFonts w:ascii="Times New Roman" w:eastAsiaTheme="minorHAnsi" w:hAnsi="Times New Roman" w:cs="Times New Roman"/>
          <w:b w:val="0"/>
          <w:color w:val="000000" w:themeColor="text1"/>
          <w:sz w:val="22"/>
          <w:szCs w:val="22"/>
        </w:rPr>
        <w:t>S</w:t>
      </w:r>
      <w:r w:rsidR="00EA1948">
        <w:rPr>
          <w:rFonts w:ascii="Times New Roman" w:eastAsiaTheme="minorHAnsi" w:hAnsi="Times New Roman" w:cs="Times New Roman"/>
          <w:b w:val="0"/>
          <w:color w:val="000000" w:themeColor="text1"/>
          <w:sz w:val="22"/>
          <w:szCs w:val="22"/>
        </w:rPr>
        <w:t>elf-medication</w:t>
      </w:r>
      <w:r w:rsidR="00691D9D" w:rsidRPr="00691D9D">
        <w:rPr>
          <w:rFonts w:ascii="Times New Roman" w:eastAsiaTheme="minorHAnsi" w:hAnsi="Times New Roman" w:cs="Times New Roman"/>
          <w:b w:val="0"/>
          <w:color w:val="000000" w:themeColor="text1"/>
          <w:sz w:val="22"/>
          <w:szCs w:val="22"/>
        </w:rPr>
        <w:t xml:space="preserve"> refers to the practice in which individuals select and use medicines to manage self-recognized symptoms or illnesses without consulting a qualified healthcare professional, including the intermittent or continued use of previously prescribed medicines without current medical supervision (</w:t>
      </w:r>
      <w:r w:rsidR="00036DDE" w:rsidRPr="00036DDE">
        <w:rPr>
          <w:rFonts w:ascii="Times New Roman" w:eastAsiaTheme="minorHAnsi" w:hAnsi="Times New Roman" w:cs="Times New Roman"/>
          <w:b w:val="0"/>
          <w:color w:val="000000" w:themeColor="text1"/>
          <w:sz w:val="22"/>
          <w:szCs w:val="22"/>
        </w:rPr>
        <w:t>WHO,</w:t>
      </w:r>
      <w:r w:rsidR="00036DDE">
        <w:rPr>
          <w:rFonts w:ascii="Times New Roman" w:eastAsiaTheme="minorHAnsi" w:hAnsi="Times New Roman" w:cs="Times New Roman"/>
          <w:b w:val="0"/>
          <w:color w:val="000000" w:themeColor="text1"/>
          <w:sz w:val="22"/>
          <w:szCs w:val="22"/>
        </w:rPr>
        <w:t xml:space="preserve"> </w:t>
      </w:r>
      <w:r w:rsidR="00691D9D" w:rsidRPr="00691D9D">
        <w:rPr>
          <w:rFonts w:ascii="Times New Roman" w:eastAsiaTheme="minorHAnsi" w:hAnsi="Times New Roman" w:cs="Times New Roman"/>
          <w:b w:val="0"/>
          <w:color w:val="000000" w:themeColor="text1"/>
          <w:sz w:val="22"/>
          <w:szCs w:val="22"/>
        </w:rPr>
        <w:t xml:space="preserve">2000; Awad </w:t>
      </w:r>
      <w:r w:rsidR="00691D9D" w:rsidRPr="005D53CC">
        <w:rPr>
          <w:rFonts w:ascii="Times New Roman" w:eastAsiaTheme="minorHAnsi" w:hAnsi="Times New Roman" w:cs="Times New Roman"/>
          <w:b w:val="0"/>
          <w:color w:val="000000" w:themeColor="text1"/>
          <w:sz w:val="22"/>
          <w:szCs w:val="22"/>
        </w:rPr>
        <w:t>et al.</w:t>
      </w:r>
      <w:r w:rsidR="00691D9D">
        <w:rPr>
          <w:rFonts w:ascii="Times New Roman" w:eastAsiaTheme="minorHAnsi" w:hAnsi="Times New Roman" w:cs="Times New Roman"/>
          <w:b w:val="0"/>
          <w:color w:val="000000" w:themeColor="text1"/>
          <w:sz w:val="22"/>
          <w:szCs w:val="22"/>
        </w:rPr>
        <w:t>;</w:t>
      </w:r>
      <w:r w:rsidR="00691D9D" w:rsidRPr="00691D9D">
        <w:rPr>
          <w:rFonts w:ascii="Times New Roman" w:eastAsiaTheme="minorHAnsi" w:hAnsi="Times New Roman" w:cs="Times New Roman"/>
          <w:b w:val="0"/>
          <w:color w:val="000000" w:themeColor="text1"/>
          <w:sz w:val="22"/>
          <w:szCs w:val="22"/>
        </w:rPr>
        <w:t xml:space="preserve"> 2005; Zheng et al., 2023).</w:t>
      </w:r>
      <w:r w:rsidR="00691D9D">
        <w:rPr>
          <w:rFonts w:ascii="Times New Roman" w:eastAsiaTheme="minorHAnsi" w:hAnsi="Times New Roman" w:cs="Times New Roman"/>
          <w:b w:val="0"/>
          <w:color w:val="000000" w:themeColor="text1"/>
          <w:sz w:val="22"/>
          <w:szCs w:val="22"/>
        </w:rPr>
        <w:t xml:space="preserve"> </w:t>
      </w:r>
      <w:r w:rsidR="00CE7FD4">
        <w:rPr>
          <w:rFonts w:ascii="Times New Roman" w:eastAsiaTheme="minorHAnsi" w:hAnsi="Times New Roman" w:cs="Times New Roman"/>
          <w:b w:val="0"/>
          <w:color w:val="auto"/>
          <w:sz w:val="22"/>
          <w:szCs w:val="22"/>
        </w:rPr>
        <w:t>S</w:t>
      </w:r>
      <w:r w:rsidR="00EA1948">
        <w:rPr>
          <w:rFonts w:ascii="Times New Roman" w:eastAsiaTheme="minorHAnsi" w:hAnsi="Times New Roman" w:cs="Times New Roman"/>
          <w:b w:val="0"/>
          <w:color w:val="auto"/>
          <w:sz w:val="22"/>
          <w:szCs w:val="22"/>
        </w:rPr>
        <w:t>elf-medication</w:t>
      </w:r>
      <w:r w:rsidR="00495312" w:rsidRPr="005D53CC">
        <w:rPr>
          <w:rFonts w:ascii="Times New Roman" w:eastAsiaTheme="minorHAnsi" w:hAnsi="Times New Roman" w:cs="Times New Roman"/>
          <w:b w:val="0"/>
          <w:color w:val="auto"/>
          <w:sz w:val="22"/>
          <w:szCs w:val="22"/>
        </w:rPr>
        <w:t xml:space="preserve"> (SM) is a widespread and increasing practice worldwide and is considered a public health concern because it can lead to antibiotic resistance, harmful side effects, drug interactions, and delayed diagnosis of diseases</w:t>
      </w:r>
      <w:r w:rsidR="000E57CB" w:rsidRPr="005D53CC">
        <w:rPr>
          <w:rFonts w:ascii="Times New Roman" w:eastAsiaTheme="minorHAnsi" w:hAnsi="Times New Roman" w:cs="Times New Roman"/>
          <w:b w:val="0"/>
          <w:color w:val="auto"/>
          <w:sz w:val="22"/>
          <w:szCs w:val="22"/>
        </w:rPr>
        <w:t xml:space="preserve"> </w:t>
      </w:r>
      <w:r w:rsidR="00582186" w:rsidRPr="005D53CC">
        <w:rPr>
          <w:rFonts w:ascii="Times New Roman" w:eastAsiaTheme="minorHAnsi" w:hAnsi="Times New Roman" w:cs="Times New Roman"/>
          <w:b w:val="0"/>
          <w:color w:val="auto"/>
          <w:sz w:val="22"/>
          <w:szCs w:val="22"/>
        </w:rPr>
        <w:t>(</w:t>
      </w:r>
      <w:r w:rsidR="00866028" w:rsidRPr="005D53CC">
        <w:rPr>
          <w:rFonts w:ascii="Times New Roman" w:eastAsiaTheme="minorHAnsi" w:hAnsi="Times New Roman" w:cs="Times New Roman"/>
          <w:b w:val="0"/>
          <w:color w:val="auto"/>
          <w:sz w:val="22"/>
          <w:szCs w:val="22"/>
        </w:rPr>
        <w:t>Baracaldo-Santamaría et al., 2022</w:t>
      </w:r>
      <w:r w:rsidR="00582186" w:rsidRPr="005D53CC">
        <w:rPr>
          <w:rFonts w:ascii="Times New Roman" w:eastAsiaTheme="minorHAnsi" w:hAnsi="Times New Roman" w:cs="Times New Roman"/>
          <w:b w:val="0"/>
          <w:color w:val="auto"/>
          <w:sz w:val="22"/>
          <w:szCs w:val="22"/>
        </w:rPr>
        <w:t>)</w:t>
      </w:r>
      <w:r w:rsidR="00495312" w:rsidRPr="005D53CC">
        <w:rPr>
          <w:rFonts w:ascii="Times New Roman" w:eastAsiaTheme="minorHAnsi" w:hAnsi="Times New Roman" w:cs="Times New Roman"/>
          <w:b w:val="0"/>
          <w:color w:val="auto"/>
          <w:sz w:val="22"/>
          <w:szCs w:val="22"/>
        </w:rPr>
        <w:t>.</w:t>
      </w:r>
      <w:r w:rsidR="00FB2EFE" w:rsidRPr="005D53CC">
        <w:rPr>
          <w:rFonts w:ascii="Times New Roman" w:eastAsiaTheme="minorHAnsi" w:hAnsi="Times New Roman" w:cs="Times New Roman"/>
          <w:b w:val="0"/>
          <w:color w:val="FF0000"/>
          <w:sz w:val="22"/>
          <w:szCs w:val="22"/>
        </w:rPr>
        <w:t xml:space="preserve"> </w:t>
      </w:r>
      <w:r w:rsidR="0035228C" w:rsidRPr="0035228C">
        <w:rPr>
          <w:rFonts w:ascii="Times New Roman" w:eastAsiaTheme="minorHAnsi" w:hAnsi="Times New Roman" w:cs="Times New Roman"/>
          <w:b w:val="0"/>
          <w:color w:val="000000" w:themeColor="text1"/>
          <w:sz w:val="22"/>
          <w:szCs w:val="22"/>
        </w:rPr>
        <w:t xml:space="preserve">Recent evidence from a systematic review and meta-analysis indicates that antibiotic </w:t>
      </w:r>
      <w:r w:rsidR="00EA1948">
        <w:rPr>
          <w:rFonts w:ascii="Times New Roman" w:eastAsiaTheme="minorHAnsi" w:hAnsi="Times New Roman" w:cs="Times New Roman"/>
          <w:b w:val="0"/>
          <w:color w:val="000000" w:themeColor="text1"/>
          <w:sz w:val="22"/>
          <w:szCs w:val="22"/>
        </w:rPr>
        <w:t>self-medication</w:t>
      </w:r>
      <w:r w:rsidR="0035228C" w:rsidRPr="0035228C">
        <w:rPr>
          <w:rFonts w:ascii="Times New Roman" w:eastAsiaTheme="minorHAnsi" w:hAnsi="Times New Roman" w:cs="Times New Roman"/>
          <w:b w:val="0"/>
          <w:color w:val="000000" w:themeColor="text1"/>
          <w:sz w:val="22"/>
          <w:szCs w:val="22"/>
        </w:rPr>
        <w:t xml:space="preserve"> remains highly prevalent worldwide, with an estimated pooled prevalence of approximately 43%. Marked differences across regions and considerable variability among studies further underscore the global and widespread misuse of antibiotics</w:t>
      </w:r>
      <w:r w:rsidR="00F6641A" w:rsidRPr="00F6641A">
        <w:rPr>
          <w:rFonts w:ascii="Times New Roman" w:hAnsi="Times New Roman"/>
          <w:color w:val="000000" w:themeColor="text1"/>
          <w:sz w:val="22"/>
          <w:szCs w:val="22"/>
        </w:rPr>
        <w:t xml:space="preserve"> </w:t>
      </w:r>
      <w:r w:rsidR="00F6641A">
        <w:rPr>
          <w:rFonts w:ascii="Times New Roman" w:hAnsi="Times New Roman"/>
          <w:color w:val="000000" w:themeColor="text1"/>
          <w:sz w:val="22"/>
          <w:szCs w:val="22"/>
        </w:rPr>
        <w:t>(</w:t>
      </w:r>
      <w:r w:rsidR="00F6641A" w:rsidRPr="00F6641A">
        <w:rPr>
          <w:rFonts w:ascii="Times New Roman" w:hAnsi="Times New Roman"/>
          <w:b w:val="0"/>
          <w:bCs w:val="0"/>
          <w:color w:val="000000" w:themeColor="text1"/>
          <w:sz w:val="22"/>
          <w:szCs w:val="22"/>
        </w:rPr>
        <w:t>Gashaw</w:t>
      </w:r>
      <w:r w:rsidR="00F6641A" w:rsidRPr="00F6641A">
        <w:rPr>
          <w:rFonts w:ascii="Times New Roman" w:eastAsiaTheme="minorHAnsi" w:hAnsi="Times New Roman" w:cs="Times New Roman"/>
          <w:b w:val="0"/>
          <w:color w:val="auto"/>
          <w:sz w:val="22"/>
          <w:szCs w:val="22"/>
        </w:rPr>
        <w:t xml:space="preserve"> </w:t>
      </w:r>
      <w:r w:rsidR="00F6641A" w:rsidRPr="005D53CC">
        <w:rPr>
          <w:rFonts w:ascii="Times New Roman" w:eastAsiaTheme="minorHAnsi" w:hAnsi="Times New Roman" w:cs="Times New Roman"/>
          <w:b w:val="0"/>
          <w:color w:val="auto"/>
          <w:sz w:val="22"/>
          <w:szCs w:val="22"/>
        </w:rPr>
        <w:t>et al.,</w:t>
      </w:r>
      <w:r w:rsidR="00F6641A">
        <w:rPr>
          <w:rFonts w:ascii="Times New Roman" w:eastAsiaTheme="minorHAnsi" w:hAnsi="Times New Roman" w:cs="Times New Roman"/>
          <w:b w:val="0"/>
          <w:color w:val="auto"/>
          <w:sz w:val="22"/>
          <w:szCs w:val="22"/>
        </w:rPr>
        <w:t xml:space="preserve"> 2025)</w:t>
      </w:r>
      <w:r w:rsidR="00FB2EFE" w:rsidRPr="0035228C">
        <w:rPr>
          <w:rFonts w:ascii="Times New Roman" w:eastAsiaTheme="minorHAnsi" w:hAnsi="Times New Roman" w:cs="Times New Roman"/>
          <w:b w:val="0"/>
          <w:color w:val="000000" w:themeColor="text1"/>
          <w:sz w:val="22"/>
          <w:szCs w:val="22"/>
        </w:rPr>
        <w:t>.</w:t>
      </w:r>
      <w:r w:rsidR="007247F3" w:rsidRPr="005D53CC">
        <w:rPr>
          <w:rFonts w:ascii="Times New Roman" w:eastAsiaTheme="minorHAnsi" w:hAnsi="Times New Roman" w:cs="Times New Roman"/>
          <w:b w:val="0"/>
          <w:color w:val="FF0000"/>
          <w:sz w:val="22"/>
          <w:szCs w:val="22"/>
        </w:rPr>
        <w:t xml:space="preserve"> </w:t>
      </w:r>
      <w:r w:rsidR="005138CF" w:rsidRPr="005138CF">
        <w:rPr>
          <w:rFonts w:ascii="Times New Roman" w:eastAsiaTheme="minorHAnsi" w:hAnsi="Times New Roman" w:cs="Times New Roman"/>
          <w:b w:val="0"/>
          <w:color w:val="000000" w:themeColor="text1"/>
          <w:sz w:val="22"/>
          <w:szCs w:val="22"/>
        </w:rPr>
        <w:t xml:space="preserve">The rational use of medicines means that patients receive medications that are appropriate for their clinical needs, in doses that meet their individual requirements, for an adequate </w:t>
      </w:r>
      <w:proofErr w:type="gramStart"/>
      <w:r w:rsidR="005138CF" w:rsidRPr="005138CF">
        <w:rPr>
          <w:rFonts w:ascii="Times New Roman" w:eastAsiaTheme="minorHAnsi" w:hAnsi="Times New Roman" w:cs="Times New Roman"/>
          <w:b w:val="0"/>
          <w:color w:val="000000" w:themeColor="text1"/>
          <w:sz w:val="22"/>
          <w:szCs w:val="22"/>
        </w:rPr>
        <w:t>period of time</w:t>
      </w:r>
      <w:proofErr w:type="gramEnd"/>
      <w:r w:rsidR="005138CF" w:rsidRPr="005138CF">
        <w:rPr>
          <w:rFonts w:ascii="Times New Roman" w:eastAsiaTheme="minorHAnsi" w:hAnsi="Times New Roman" w:cs="Times New Roman"/>
          <w:b w:val="0"/>
          <w:color w:val="000000" w:themeColor="text1"/>
          <w:sz w:val="22"/>
          <w:szCs w:val="22"/>
        </w:rPr>
        <w:t>, and at the lowest possible cost to them and the community. When medicines are not used rationally, they may be prescribed, dispensed, or sold inappropriately, leading to poor treatment outcomes, adverse drug reactions, antimicrobial resistance, and unnecessary healthcare costs. The World Health Organization has highlighted that irrational medicine use remains a significant global health problem, particularly in low and middle</w:t>
      </w:r>
      <w:r w:rsidR="00DD1D00">
        <w:rPr>
          <w:rFonts w:ascii="Times New Roman" w:eastAsiaTheme="minorHAnsi" w:hAnsi="Times New Roman" w:cs="Times New Roman"/>
          <w:b w:val="0"/>
          <w:color w:val="000000" w:themeColor="text1"/>
          <w:sz w:val="22"/>
          <w:szCs w:val="22"/>
        </w:rPr>
        <w:t xml:space="preserve"> </w:t>
      </w:r>
      <w:r w:rsidR="005138CF" w:rsidRPr="005138CF">
        <w:rPr>
          <w:rFonts w:ascii="Times New Roman" w:eastAsiaTheme="minorHAnsi" w:hAnsi="Times New Roman" w:cs="Times New Roman"/>
          <w:b w:val="0"/>
          <w:color w:val="000000" w:themeColor="text1"/>
          <w:sz w:val="22"/>
          <w:szCs w:val="22"/>
        </w:rPr>
        <w:t xml:space="preserve">income countries, and includes inappropriate </w:t>
      </w:r>
      <w:r w:rsidR="00EA1948">
        <w:rPr>
          <w:rFonts w:ascii="Times New Roman" w:eastAsiaTheme="minorHAnsi" w:hAnsi="Times New Roman" w:cs="Times New Roman"/>
          <w:b w:val="0"/>
          <w:color w:val="000000" w:themeColor="text1"/>
          <w:sz w:val="22"/>
          <w:szCs w:val="22"/>
        </w:rPr>
        <w:t>self-medication</w:t>
      </w:r>
      <w:r w:rsidR="005138CF" w:rsidRPr="005138CF">
        <w:rPr>
          <w:rFonts w:ascii="Times New Roman" w:eastAsiaTheme="minorHAnsi" w:hAnsi="Times New Roman" w:cs="Times New Roman"/>
          <w:b w:val="0"/>
          <w:color w:val="000000" w:themeColor="text1"/>
          <w:sz w:val="22"/>
          <w:szCs w:val="22"/>
        </w:rPr>
        <w:t xml:space="preserve"> with prescription</w:t>
      </w:r>
      <w:r w:rsidR="004F51AE">
        <w:rPr>
          <w:rFonts w:ascii="Times New Roman" w:eastAsiaTheme="minorHAnsi" w:hAnsi="Times New Roman" w:cs="Times New Roman"/>
          <w:b w:val="0"/>
          <w:color w:val="000000" w:themeColor="text1"/>
          <w:sz w:val="22"/>
          <w:szCs w:val="22"/>
        </w:rPr>
        <w:t xml:space="preserve"> </w:t>
      </w:r>
      <w:r w:rsidR="005138CF" w:rsidRPr="005138CF">
        <w:rPr>
          <w:rFonts w:ascii="Times New Roman" w:eastAsiaTheme="minorHAnsi" w:hAnsi="Times New Roman" w:cs="Times New Roman"/>
          <w:b w:val="0"/>
          <w:color w:val="000000" w:themeColor="text1"/>
          <w:sz w:val="22"/>
          <w:szCs w:val="22"/>
        </w:rPr>
        <w:t>only medicines</w:t>
      </w:r>
      <w:r w:rsidR="007D2E56">
        <w:rPr>
          <w:rFonts w:ascii="Times New Roman" w:eastAsiaTheme="minorHAnsi" w:hAnsi="Times New Roman" w:cs="Times New Roman"/>
          <w:b w:val="0"/>
          <w:color w:val="000000" w:themeColor="text1"/>
          <w:sz w:val="22"/>
          <w:szCs w:val="22"/>
        </w:rPr>
        <w:t xml:space="preserve"> </w:t>
      </w:r>
      <w:r w:rsidR="007D2E56" w:rsidRPr="00691D9D">
        <w:rPr>
          <w:rFonts w:ascii="Times New Roman" w:eastAsiaTheme="minorHAnsi" w:hAnsi="Times New Roman" w:cs="Times New Roman"/>
          <w:b w:val="0"/>
          <w:color w:val="000000" w:themeColor="text1"/>
          <w:sz w:val="22"/>
          <w:szCs w:val="22"/>
        </w:rPr>
        <w:t>(</w:t>
      </w:r>
      <w:r w:rsidR="007D2E56" w:rsidRPr="00036DDE">
        <w:rPr>
          <w:rFonts w:ascii="Times New Roman" w:eastAsiaTheme="minorHAnsi" w:hAnsi="Times New Roman" w:cs="Times New Roman"/>
          <w:b w:val="0"/>
          <w:color w:val="000000" w:themeColor="text1"/>
          <w:sz w:val="22"/>
          <w:szCs w:val="22"/>
        </w:rPr>
        <w:t>WHO,</w:t>
      </w:r>
      <w:r w:rsidR="007D2E56">
        <w:rPr>
          <w:rFonts w:ascii="Times New Roman" w:eastAsiaTheme="minorHAnsi" w:hAnsi="Times New Roman" w:cs="Times New Roman"/>
          <w:b w:val="0"/>
          <w:color w:val="000000" w:themeColor="text1"/>
          <w:sz w:val="22"/>
          <w:szCs w:val="22"/>
        </w:rPr>
        <w:t xml:space="preserve"> </w:t>
      </w:r>
      <w:r w:rsidR="007D2E56" w:rsidRPr="00691D9D">
        <w:rPr>
          <w:rFonts w:ascii="Times New Roman" w:eastAsiaTheme="minorHAnsi" w:hAnsi="Times New Roman" w:cs="Times New Roman"/>
          <w:b w:val="0"/>
          <w:color w:val="000000" w:themeColor="text1"/>
          <w:sz w:val="22"/>
          <w:szCs w:val="22"/>
        </w:rPr>
        <w:t>20</w:t>
      </w:r>
      <w:r w:rsidR="007D2E56">
        <w:rPr>
          <w:rFonts w:ascii="Times New Roman" w:eastAsiaTheme="minorHAnsi" w:hAnsi="Times New Roman" w:cs="Times New Roman"/>
          <w:b w:val="0"/>
          <w:color w:val="000000" w:themeColor="text1"/>
          <w:sz w:val="22"/>
          <w:szCs w:val="22"/>
        </w:rPr>
        <w:t>25)</w:t>
      </w:r>
      <w:r w:rsidR="00EA4C0B" w:rsidRPr="00EA4C0B">
        <w:rPr>
          <w:rFonts w:ascii="Times New Roman" w:eastAsiaTheme="minorHAnsi" w:hAnsi="Times New Roman" w:cs="Times New Roman"/>
          <w:b w:val="0"/>
          <w:color w:val="000000" w:themeColor="text1"/>
          <w:sz w:val="22"/>
          <w:szCs w:val="22"/>
        </w:rPr>
        <w:t>.</w:t>
      </w:r>
      <w:r w:rsidR="00A26172">
        <w:rPr>
          <w:rFonts w:ascii="Times New Roman" w:eastAsiaTheme="minorHAnsi" w:hAnsi="Times New Roman" w:cs="Times New Roman"/>
          <w:b w:val="0"/>
          <w:color w:val="000000" w:themeColor="text1"/>
          <w:sz w:val="22"/>
          <w:szCs w:val="22"/>
        </w:rPr>
        <w:t xml:space="preserve"> </w:t>
      </w:r>
      <w:r w:rsidR="00A26172" w:rsidRPr="00A26172">
        <w:rPr>
          <w:rFonts w:ascii="Times New Roman" w:eastAsiaTheme="minorHAnsi" w:hAnsi="Times New Roman" w:cs="Times New Roman"/>
          <w:b w:val="0"/>
          <w:color w:val="000000" w:themeColor="text1"/>
          <w:sz w:val="22"/>
          <w:szCs w:val="22"/>
        </w:rPr>
        <w:t>An emerging issue highlighted in recent literature is the increasing tendency of individuals to self-medicate for chronic health conditions, including hypertension, diabetes, and mental health disorders. Unlike the short-term management of minor symptoms, unsupervised use of medicines for long-term conditions carries a higher risk of inadequate disease control, adverse drug effects, and delayed recognition of complications. Evidence suggests that the continued reuse of previously prescribed medications for chronic illnesses is becoming more common, particularly in settings where access to regular medical follow-up is limited</w:t>
      </w:r>
      <w:r w:rsidR="00A26172">
        <w:rPr>
          <w:rFonts w:ascii="Times New Roman" w:eastAsiaTheme="minorHAnsi" w:hAnsi="Times New Roman" w:cs="Times New Roman"/>
          <w:b w:val="0"/>
          <w:color w:val="000000" w:themeColor="text1"/>
          <w:sz w:val="22"/>
          <w:szCs w:val="22"/>
        </w:rPr>
        <w:t xml:space="preserve"> </w:t>
      </w:r>
      <w:r w:rsidR="00A26172" w:rsidRPr="00A26172">
        <w:rPr>
          <w:rFonts w:ascii="Times New Roman" w:eastAsiaTheme="minorHAnsi" w:hAnsi="Times New Roman" w:cs="Times New Roman"/>
          <w:b w:val="0"/>
          <w:color w:val="000000" w:themeColor="text1"/>
          <w:sz w:val="22"/>
          <w:szCs w:val="22"/>
        </w:rPr>
        <w:t>(Saha et al., 2023).</w:t>
      </w:r>
      <w:r w:rsidR="00F76B18">
        <w:rPr>
          <w:rFonts w:ascii="Times New Roman" w:eastAsiaTheme="minorHAnsi" w:hAnsi="Times New Roman" w:cs="Times New Roman"/>
          <w:b w:val="0"/>
          <w:color w:val="000000" w:themeColor="text1"/>
          <w:sz w:val="22"/>
          <w:szCs w:val="22"/>
        </w:rPr>
        <w:t xml:space="preserve"> </w:t>
      </w:r>
      <w:r w:rsidR="00F76B18" w:rsidRPr="00F76B18">
        <w:rPr>
          <w:rFonts w:ascii="Times New Roman" w:eastAsiaTheme="minorHAnsi" w:hAnsi="Times New Roman" w:cs="Times New Roman"/>
          <w:b w:val="0"/>
          <w:color w:val="000000" w:themeColor="text1"/>
          <w:sz w:val="22"/>
          <w:szCs w:val="22"/>
        </w:rPr>
        <w:t xml:space="preserve">At the global public health level, </w:t>
      </w:r>
      <w:r w:rsidR="00EA1948">
        <w:rPr>
          <w:rFonts w:ascii="Times New Roman" w:eastAsiaTheme="minorHAnsi" w:hAnsi="Times New Roman" w:cs="Times New Roman"/>
          <w:b w:val="0"/>
          <w:color w:val="000000" w:themeColor="text1"/>
          <w:sz w:val="22"/>
          <w:szCs w:val="22"/>
        </w:rPr>
        <w:t>self-medication</w:t>
      </w:r>
      <w:r w:rsidR="00F76B18" w:rsidRPr="00F76B18">
        <w:rPr>
          <w:rFonts w:ascii="Times New Roman" w:eastAsiaTheme="minorHAnsi" w:hAnsi="Times New Roman" w:cs="Times New Roman"/>
          <w:b w:val="0"/>
          <w:color w:val="000000" w:themeColor="text1"/>
          <w:sz w:val="22"/>
          <w:szCs w:val="22"/>
        </w:rPr>
        <w:t xml:space="preserve"> is increasingly recognized as a significant contributor to the antimicrobial resistance (AMR) problem. International health authorities and recent evidence syntheses have repeatedly highlighted the widespread use of antibiotics without prescription, particularly at the community level, as a major factor accelerating resistance. The continued prevalence of this behavior suggests that awareness-raising efforts alone are inadequate unless accompanied by stronger regulatory controls and improved access to appropriate healthcare services</w:t>
      </w:r>
      <w:r w:rsidR="000038BC">
        <w:rPr>
          <w:rFonts w:ascii="Times New Roman" w:eastAsiaTheme="minorHAnsi" w:hAnsi="Times New Roman" w:cs="Times New Roman"/>
          <w:b w:val="0"/>
          <w:color w:val="000000" w:themeColor="text1"/>
          <w:sz w:val="22"/>
          <w:szCs w:val="22"/>
        </w:rPr>
        <w:t xml:space="preserve"> </w:t>
      </w:r>
      <w:r w:rsidR="000038BC" w:rsidRPr="00691D9D">
        <w:rPr>
          <w:rFonts w:ascii="Times New Roman" w:eastAsiaTheme="minorHAnsi" w:hAnsi="Times New Roman" w:cs="Times New Roman"/>
          <w:b w:val="0"/>
          <w:color w:val="000000" w:themeColor="text1"/>
          <w:sz w:val="22"/>
          <w:szCs w:val="22"/>
        </w:rPr>
        <w:t>(</w:t>
      </w:r>
      <w:r w:rsidR="000038BC" w:rsidRPr="00036DDE">
        <w:rPr>
          <w:rFonts w:ascii="Times New Roman" w:eastAsiaTheme="minorHAnsi" w:hAnsi="Times New Roman" w:cs="Times New Roman"/>
          <w:b w:val="0"/>
          <w:color w:val="000000" w:themeColor="text1"/>
          <w:sz w:val="22"/>
          <w:szCs w:val="22"/>
        </w:rPr>
        <w:t>WHO,</w:t>
      </w:r>
      <w:r w:rsidR="000038BC">
        <w:rPr>
          <w:rFonts w:ascii="Times New Roman" w:eastAsiaTheme="minorHAnsi" w:hAnsi="Times New Roman" w:cs="Times New Roman"/>
          <w:b w:val="0"/>
          <w:color w:val="000000" w:themeColor="text1"/>
          <w:sz w:val="22"/>
          <w:szCs w:val="22"/>
        </w:rPr>
        <w:t xml:space="preserve"> </w:t>
      </w:r>
      <w:r w:rsidR="000038BC" w:rsidRPr="00691D9D">
        <w:rPr>
          <w:rFonts w:ascii="Times New Roman" w:eastAsiaTheme="minorHAnsi" w:hAnsi="Times New Roman" w:cs="Times New Roman"/>
          <w:b w:val="0"/>
          <w:color w:val="000000" w:themeColor="text1"/>
          <w:sz w:val="22"/>
          <w:szCs w:val="22"/>
        </w:rPr>
        <w:t>20</w:t>
      </w:r>
      <w:r w:rsidR="000038BC">
        <w:rPr>
          <w:rFonts w:ascii="Times New Roman" w:eastAsiaTheme="minorHAnsi" w:hAnsi="Times New Roman" w:cs="Times New Roman"/>
          <w:b w:val="0"/>
          <w:color w:val="000000" w:themeColor="text1"/>
          <w:sz w:val="22"/>
          <w:szCs w:val="22"/>
        </w:rPr>
        <w:t xml:space="preserve">25; </w:t>
      </w:r>
      <w:r w:rsidR="000038BC" w:rsidRPr="00F6641A">
        <w:rPr>
          <w:rFonts w:ascii="Times New Roman" w:hAnsi="Times New Roman"/>
          <w:b w:val="0"/>
          <w:bCs w:val="0"/>
          <w:color w:val="000000" w:themeColor="text1"/>
          <w:sz w:val="22"/>
          <w:szCs w:val="22"/>
        </w:rPr>
        <w:t>Gashaw</w:t>
      </w:r>
      <w:r w:rsidR="000038BC" w:rsidRPr="00F6641A">
        <w:rPr>
          <w:rFonts w:ascii="Times New Roman" w:eastAsiaTheme="minorHAnsi" w:hAnsi="Times New Roman" w:cs="Times New Roman"/>
          <w:b w:val="0"/>
          <w:color w:val="auto"/>
          <w:sz w:val="22"/>
          <w:szCs w:val="22"/>
        </w:rPr>
        <w:t xml:space="preserve"> </w:t>
      </w:r>
      <w:r w:rsidR="000038BC" w:rsidRPr="005D53CC">
        <w:rPr>
          <w:rFonts w:ascii="Times New Roman" w:eastAsiaTheme="minorHAnsi" w:hAnsi="Times New Roman" w:cs="Times New Roman"/>
          <w:b w:val="0"/>
          <w:color w:val="auto"/>
          <w:sz w:val="22"/>
          <w:szCs w:val="22"/>
        </w:rPr>
        <w:t>et al.,</w:t>
      </w:r>
      <w:r w:rsidR="000038BC">
        <w:rPr>
          <w:rFonts w:ascii="Times New Roman" w:eastAsiaTheme="minorHAnsi" w:hAnsi="Times New Roman" w:cs="Times New Roman"/>
          <w:b w:val="0"/>
          <w:color w:val="auto"/>
          <w:sz w:val="22"/>
          <w:szCs w:val="22"/>
        </w:rPr>
        <w:t xml:space="preserve"> 2025</w:t>
      </w:r>
      <w:r w:rsidR="000038BC">
        <w:rPr>
          <w:rFonts w:ascii="Times New Roman" w:eastAsiaTheme="minorHAnsi" w:hAnsi="Times New Roman" w:cs="Times New Roman"/>
          <w:b w:val="0"/>
          <w:color w:val="000000" w:themeColor="text1"/>
          <w:sz w:val="22"/>
          <w:szCs w:val="22"/>
        </w:rPr>
        <w:t>)</w:t>
      </w:r>
      <w:r w:rsidR="00F76B18" w:rsidRPr="00F76B18">
        <w:rPr>
          <w:rFonts w:ascii="Times New Roman" w:eastAsiaTheme="minorHAnsi" w:hAnsi="Times New Roman" w:cs="Times New Roman"/>
          <w:b w:val="0"/>
          <w:color w:val="000000" w:themeColor="text1"/>
          <w:sz w:val="22"/>
          <w:szCs w:val="22"/>
        </w:rPr>
        <w:t>.</w:t>
      </w:r>
      <w:r w:rsidR="004630A6" w:rsidRPr="004630A6">
        <w:rPr>
          <w:rFonts w:asciiTheme="minorHAnsi" w:eastAsiaTheme="minorHAnsi" w:hAnsiTheme="minorHAnsi" w:cstheme="minorBidi"/>
          <w:b w:val="0"/>
          <w:bCs w:val="0"/>
          <w:color w:val="auto"/>
          <w:sz w:val="22"/>
          <w:szCs w:val="22"/>
        </w:rPr>
        <w:t xml:space="preserve"> </w:t>
      </w:r>
      <w:r w:rsidR="004630A6" w:rsidRPr="004630A6">
        <w:rPr>
          <w:rFonts w:ascii="Times New Roman" w:eastAsiaTheme="minorHAnsi" w:hAnsi="Times New Roman" w:cs="Times New Roman"/>
          <w:b w:val="0"/>
          <w:color w:val="000000" w:themeColor="text1"/>
          <w:sz w:val="22"/>
          <w:szCs w:val="22"/>
        </w:rPr>
        <w:t xml:space="preserve">Recent regional evidence indicates that differences between urban and rural settings play an important role in shaping </w:t>
      </w:r>
      <w:r w:rsidR="00EA1948">
        <w:rPr>
          <w:rFonts w:ascii="Times New Roman" w:eastAsiaTheme="minorHAnsi" w:hAnsi="Times New Roman" w:cs="Times New Roman"/>
          <w:b w:val="0"/>
          <w:color w:val="000000" w:themeColor="text1"/>
          <w:sz w:val="22"/>
          <w:szCs w:val="22"/>
        </w:rPr>
        <w:t>self-medication</w:t>
      </w:r>
      <w:r w:rsidR="004630A6" w:rsidRPr="004630A6">
        <w:rPr>
          <w:rFonts w:ascii="Times New Roman" w:eastAsiaTheme="minorHAnsi" w:hAnsi="Times New Roman" w:cs="Times New Roman"/>
          <w:b w:val="0"/>
          <w:color w:val="000000" w:themeColor="text1"/>
          <w:sz w:val="22"/>
          <w:szCs w:val="22"/>
        </w:rPr>
        <w:t xml:space="preserve"> practices. Individuals living in rural areas tend to depend more on </w:t>
      </w:r>
      <w:r w:rsidR="00EA1948">
        <w:rPr>
          <w:rFonts w:ascii="Times New Roman" w:eastAsiaTheme="minorHAnsi" w:hAnsi="Times New Roman" w:cs="Times New Roman"/>
          <w:b w:val="0"/>
          <w:color w:val="000000" w:themeColor="text1"/>
          <w:sz w:val="22"/>
          <w:szCs w:val="22"/>
        </w:rPr>
        <w:t>self-medication</w:t>
      </w:r>
      <w:r w:rsidR="004630A6" w:rsidRPr="004630A6">
        <w:rPr>
          <w:rFonts w:ascii="Times New Roman" w:eastAsiaTheme="minorHAnsi" w:hAnsi="Times New Roman" w:cs="Times New Roman"/>
          <w:b w:val="0"/>
          <w:color w:val="000000" w:themeColor="text1"/>
          <w:sz w:val="22"/>
          <w:szCs w:val="22"/>
        </w:rPr>
        <w:t xml:space="preserve"> because of constrained healthcare facilities, transportation difficulties, and the greater time and financial burden associated with seeking professional medical care. In contrast, urban residents often have easier access to a wide range of drug outlets, which may increase exposure to a greater variety of medicines and raise the risk of polypharmacy. Despite these distinct patterns, systematic investigation of urban</w:t>
      </w:r>
      <w:r w:rsidR="00B80E41">
        <w:rPr>
          <w:rFonts w:ascii="Times New Roman" w:eastAsiaTheme="minorHAnsi" w:hAnsi="Times New Roman" w:cs="Times New Roman"/>
          <w:b w:val="0"/>
          <w:color w:val="000000" w:themeColor="text1"/>
          <w:sz w:val="22"/>
          <w:szCs w:val="22"/>
        </w:rPr>
        <w:t xml:space="preserve"> </w:t>
      </w:r>
      <w:r w:rsidR="004630A6" w:rsidRPr="004630A6">
        <w:rPr>
          <w:rFonts w:ascii="Times New Roman" w:eastAsiaTheme="minorHAnsi" w:hAnsi="Times New Roman" w:cs="Times New Roman"/>
          <w:b w:val="0"/>
          <w:color w:val="000000" w:themeColor="text1"/>
          <w:sz w:val="22"/>
          <w:szCs w:val="22"/>
        </w:rPr>
        <w:t xml:space="preserve">rural differences in </w:t>
      </w:r>
      <w:r w:rsidR="00EA1948">
        <w:rPr>
          <w:rFonts w:ascii="Times New Roman" w:eastAsiaTheme="minorHAnsi" w:hAnsi="Times New Roman" w:cs="Times New Roman"/>
          <w:b w:val="0"/>
          <w:color w:val="000000" w:themeColor="text1"/>
          <w:sz w:val="22"/>
          <w:szCs w:val="22"/>
        </w:rPr>
        <w:t>self-medication</w:t>
      </w:r>
      <w:r w:rsidR="004630A6" w:rsidRPr="004630A6">
        <w:rPr>
          <w:rFonts w:ascii="Times New Roman" w:eastAsiaTheme="minorHAnsi" w:hAnsi="Times New Roman" w:cs="Times New Roman"/>
          <w:b w:val="0"/>
          <w:color w:val="000000" w:themeColor="text1"/>
          <w:sz w:val="22"/>
          <w:szCs w:val="22"/>
        </w:rPr>
        <w:t xml:space="preserve"> within Bangladesh remains limited</w:t>
      </w:r>
      <w:r w:rsidR="003506DF">
        <w:rPr>
          <w:rFonts w:ascii="Times New Roman" w:eastAsiaTheme="minorHAnsi" w:hAnsi="Times New Roman" w:cs="Times New Roman"/>
          <w:b w:val="0"/>
          <w:color w:val="000000" w:themeColor="text1"/>
          <w:sz w:val="22"/>
          <w:szCs w:val="22"/>
        </w:rPr>
        <w:t xml:space="preserve"> </w:t>
      </w:r>
      <w:r w:rsidR="003506DF" w:rsidRPr="003506DF">
        <w:rPr>
          <w:rFonts w:ascii="Times New Roman" w:eastAsiaTheme="minorHAnsi" w:hAnsi="Times New Roman" w:cs="Times New Roman"/>
          <w:b w:val="0"/>
          <w:color w:val="000000" w:themeColor="text1"/>
          <w:sz w:val="22"/>
          <w:szCs w:val="22"/>
        </w:rPr>
        <w:t>(Osei-Tutu et al., 2024)</w:t>
      </w:r>
      <w:r w:rsidR="004630A6" w:rsidRPr="004630A6">
        <w:rPr>
          <w:rFonts w:ascii="Times New Roman" w:eastAsiaTheme="minorHAnsi" w:hAnsi="Times New Roman" w:cs="Times New Roman"/>
          <w:b w:val="0"/>
          <w:color w:val="000000" w:themeColor="text1"/>
          <w:sz w:val="22"/>
          <w:szCs w:val="22"/>
        </w:rPr>
        <w:t>.</w:t>
      </w:r>
      <w:r w:rsidR="002B1E61">
        <w:rPr>
          <w:rFonts w:ascii="Times New Roman" w:eastAsiaTheme="minorHAnsi" w:hAnsi="Times New Roman" w:cs="Times New Roman"/>
          <w:b w:val="0"/>
          <w:color w:val="000000" w:themeColor="text1"/>
          <w:sz w:val="22"/>
          <w:szCs w:val="22"/>
        </w:rPr>
        <w:t xml:space="preserve"> </w:t>
      </w:r>
      <w:r w:rsidR="00191E22" w:rsidRPr="00191E22">
        <w:rPr>
          <w:rFonts w:ascii="Times New Roman" w:eastAsiaTheme="minorHAnsi" w:hAnsi="Times New Roman" w:cs="Times New Roman"/>
          <w:b w:val="0"/>
          <w:color w:val="000000" w:themeColor="text1"/>
          <w:sz w:val="22"/>
          <w:szCs w:val="22"/>
        </w:rPr>
        <w:t xml:space="preserve">In addition, the rapid expansion of digital health resources and loosely regulated online medicine vendors has further intensified </w:t>
      </w:r>
      <w:r w:rsidR="00EA1948">
        <w:rPr>
          <w:rFonts w:ascii="Times New Roman" w:eastAsiaTheme="minorHAnsi" w:hAnsi="Times New Roman" w:cs="Times New Roman"/>
          <w:b w:val="0"/>
          <w:color w:val="000000" w:themeColor="text1"/>
          <w:sz w:val="22"/>
          <w:szCs w:val="22"/>
        </w:rPr>
        <w:t>self-medication</w:t>
      </w:r>
      <w:r w:rsidR="00191E22" w:rsidRPr="00191E22">
        <w:rPr>
          <w:rFonts w:ascii="Times New Roman" w:eastAsiaTheme="minorHAnsi" w:hAnsi="Times New Roman" w:cs="Times New Roman"/>
          <w:b w:val="0"/>
          <w:color w:val="000000" w:themeColor="text1"/>
          <w:sz w:val="22"/>
          <w:szCs w:val="22"/>
        </w:rPr>
        <w:t xml:space="preserve"> practices by enabling direct access to drug-related information and products. Such autonomous medicine use frequently occurs without appropriate diagnostic evaluation, thereby increasing the likelihood of inadequate management of chronic health conditions. Strengthening regulatory oversight alongside targeted public education initiatives is therefore essential to promote patient safety and rational use of medicines</w:t>
      </w:r>
      <w:r w:rsidR="00191E22">
        <w:rPr>
          <w:rFonts w:ascii="Times New Roman" w:eastAsiaTheme="minorHAnsi" w:hAnsi="Times New Roman" w:cs="Times New Roman"/>
          <w:b w:val="0"/>
          <w:color w:val="000000" w:themeColor="text1"/>
          <w:sz w:val="22"/>
          <w:szCs w:val="22"/>
        </w:rPr>
        <w:t xml:space="preserve"> (</w:t>
      </w:r>
      <w:r w:rsidR="00317058" w:rsidRPr="00317058">
        <w:rPr>
          <w:rFonts w:ascii="Times New Roman" w:eastAsiaTheme="minorHAnsi" w:hAnsi="Times New Roman" w:cs="Times New Roman"/>
          <w:b w:val="0"/>
          <w:color w:val="000000" w:themeColor="text1"/>
          <w:sz w:val="22"/>
          <w:szCs w:val="22"/>
        </w:rPr>
        <w:t xml:space="preserve">Mackey </w:t>
      </w:r>
      <w:r w:rsidR="00317058" w:rsidRPr="00A26172">
        <w:rPr>
          <w:rFonts w:ascii="Times New Roman" w:eastAsiaTheme="minorHAnsi" w:hAnsi="Times New Roman" w:cs="Times New Roman"/>
          <w:b w:val="0"/>
          <w:color w:val="000000" w:themeColor="text1"/>
          <w:sz w:val="22"/>
          <w:szCs w:val="22"/>
        </w:rPr>
        <w:t>et al., 20</w:t>
      </w:r>
      <w:r w:rsidR="00317058">
        <w:rPr>
          <w:rFonts w:ascii="Times New Roman" w:eastAsiaTheme="minorHAnsi" w:hAnsi="Times New Roman" w:cs="Times New Roman"/>
          <w:b w:val="0"/>
          <w:color w:val="000000" w:themeColor="text1"/>
          <w:sz w:val="22"/>
          <w:szCs w:val="22"/>
        </w:rPr>
        <w:t xml:space="preserve">16; </w:t>
      </w:r>
      <w:r w:rsidR="00191E22" w:rsidRPr="00191E22">
        <w:rPr>
          <w:rFonts w:ascii="Times New Roman" w:eastAsiaTheme="minorHAnsi" w:hAnsi="Times New Roman" w:cs="Times New Roman"/>
          <w:b w:val="0"/>
          <w:color w:val="000000" w:themeColor="text1"/>
          <w:sz w:val="22"/>
          <w:szCs w:val="22"/>
        </w:rPr>
        <w:t xml:space="preserve">Limbu </w:t>
      </w:r>
      <w:r w:rsidR="00191E22" w:rsidRPr="00A26172">
        <w:rPr>
          <w:rFonts w:ascii="Times New Roman" w:eastAsiaTheme="minorHAnsi" w:hAnsi="Times New Roman" w:cs="Times New Roman"/>
          <w:b w:val="0"/>
          <w:color w:val="000000" w:themeColor="text1"/>
          <w:sz w:val="22"/>
          <w:szCs w:val="22"/>
        </w:rPr>
        <w:t>et al., 2023)</w:t>
      </w:r>
      <w:r w:rsidR="00191E22" w:rsidRPr="00191E22">
        <w:rPr>
          <w:rFonts w:ascii="Times New Roman" w:eastAsiaTheme="minorHAnsi" w:hAnsi="Times New Roman" w:cs="Times New Roman"/>
          <w:b w:val="0"/>
          <w:color w:val="000000" w:themeColor="text1"/>
          <w:sz w:val="22"/>
          <w:szCs w:val="22"/>
        </w:rPr>
        <w:t>.</w:t>
      </w:r>
      <w:r w:rsidR="002C4475">
        <w:rPr>
          <w:rFonts w:ascii="Times New Roman" w:eastAsiaTheme="minorHAnsi" w:hAnsi="Times New Roman" w:cs="Times New Roman"/>
          <w:b w:val="0"/>
          <w:color w:val="000000" w:themeColor="text1"/>
          <w:sz w:val="22"/>
          <w:szCs w:val="22"/>
        </w:rPr>
        <w:t xml:space="preserve"> </w:t>
      </w:r>
      <w:r w:rsidR="002C4475" w:rsidRPr="002C4475">
        <w:rPr>
          <w:rFonts w:ascii="Times New Roman" w:eastAsiaTheme="minorHAnsi" w:hAnsi="Times New Roman" w:cs="Times New Roman"/>
          <w:b w:val="0"/>
          <w:color w:val="000000" w:themeColor="text1"/>
          <w:sz w:val="22"/>
          <w:szCs w:val="22"/>
        </w:rPr>
        <w:t>Furthermore, the role of non-professional medicine sellers and informal advisors remains underexplored in many settings, despite their significant influence on treatment decisions. Understanding these dynamics is essential for designing effective interventions aimed at promoting rational medicine use.</w:t>
      </w:r>
      <w:r w:rsidR="00B22BD6" w:rsidRPr="00B22BD6">
        <w:rPr>
          <w:rFonts w:ascii="Times New Roman" w:eastAsiaTheme="minorHAnsi" w:hAnsi="Times New Roman" w:cs="Times New Roman"/>
          <w:b w:val="0"/>
          <w:color w:val="000000" w:themeColor="text1"/>
          <w:sz w:val="22"/>
          <w:szCs w:val="22"/>
        </w:rPr>
        <w:t xml:space="preserve"> </w:t>
      </w:r>
      <w:r w:rsidR="006D3284" w:rsidRPr="006D3284">
        <w:rPr>
          <w:rFonts w:ascii="Times New Roman" w:eastAsiaTheme="minorHAnsi" w:hAnsi="Times New Roman" w:cs="Times New Roman"/>
          <w:b w:val="0"/>
          <w:color w:val="000000" w:themeColor="text1"/>
          <w:sz w:val="22"/>
          <w:szCs w:val="22"/>
        </w:rPr>
        <w:t xml:space="preserve">The influence of pharmacies and easy access to medicines has been linked with higher </w:t>
      </w:r>
      <w:r w:rsidR="00EA1948">
        <w:rPr>
          <w:rFonts w:ascii="Times New Roman" w:eastAsiaTheme="minorHAnsi" w:hAnsi="Times New Roman" w:cs="Times New Roman"/>
          <w:b w:val="0"/>
          <w:color w:val="000000" w:themeColor="text1"/>
          <w:sz w:val="22"/>
          <w:szCs w:val="22"/>
        </w:rPr>
        <w:t>self-medication</w:t>
      </w:r>
      <w:r w:rsidR="006D3284" w:rsidRPr="006D3284">
        <w:rPr>
          <w:rFonts w:ascii="Times New Roman" w:eastAsiaTheme="minorHAnsi" w:hAnsi="Times New Roman" w:cs="Times New Roman"/>
          <w:b w:val="0"/>
          <w:color w:val="000000" w:themeColor="text1"/>
          <w:sz w:val="22"/>
          <w:szCs w:val="22"/>
        </w:rPr>
        <w:t xml:space="preserve"> practices in community settings (</w:t>
      </w:r>
      <w:proofErr w:type="spellStart"/>
      <w:r w:rsidR="006D3284" w:rsidRPr="006D3284">
        <w:rPr>
          <w:rFonts w:ascii="Times New Roman" w:eastAsiaTheme="minorHAnsi" w:hAnsi="Times New Roman" w:cs="Times New Roman"/>
          <w:b w:val="0"/>
          <w:color w:val="000000" w:themeColor="text1"/>
          <w:sz w:val="22"/>
          <w:szCs w:val="22"/>
        </w:rPr>
        <w:t>Chautrakarn</w:t>
      </w:r>
      <w:proofErr w:type="spellEnd"/>
      <w:r w:rsidR="006D3284" w:rsidRPr="006D3284">
        <w:rPr>
          <w:rFonts w:ascii="Times New Roman" w:eastAsiaTheme="minorHAnsi" w:hAnsi="Times New Roman" w:cs="Times New Roman"/>
          <w:b w:val="0"/>
          <w:color w:val="000000" w:themeColor="text1"/>
          <w:sz w:val="22"/>
          <w:szCs w:val="22"/>
        </w:rPr>
        <w:t xml:space="preserve"> et al., 2021). In Bangladesh, perceived convenience and medication knowledge have shown significant associations with </w:t>
      </w:r>
      <w:r w:rsidR="00EA1948">
        <w:rPr>
          <w:rFonts w:ascii="Times New Roman" w:eastAsiaTheme="minorHAnsi" w:hAnsi="Times New Roman" w:cs="Times New Roman"/>
          <w:b w:val="0"/>
          <w:color w:val="000000" w:themeColor="text1"/>
          <w:sz w:val="22"/>
          <w:szCs w:val="22"/>
        </w:rPr>
        <w:t>self-medication</w:t>
      </w:r>
      <w:r w:rsidR="006D3284" w:rsidRPr="006D3284">
        <w:rPr>
          <w:rFonts w:ascii="Times New Roman" w:eastAsiaTheme="minorHAnsi" w:hAnsi="Times New Roman" w:cs="Times New Roman"/>
          <w:b w:val="0"/>
          <w:color w:val="000000" w:themeColor="text1"/>
          <w:sz w:val="22"/>
          <w:szCs w:val="22"/>
        </w:rPr>
        <w:t xml:space="preserve"> behavior among university populations (</w:t>
      </w:r>
      <w:proofErr w:type="spellStart"/>
      <w:r w:rsidR="006D3284" w:rsidRPr="006D3284">
        <w:rPr>
          <w:rFonts w:ascii="Times New Roman" w:eastAsiaTheme="minorHAnsi" w:hAnsi="Times New Roman" w:cs="Times New Roman"/>
          <w:b w:val="0"/>
          <w:color w:val="000000" w:themeColor="text1"/>
          <w:sz w:val="22"/>
          <w:szCs w:val="22"/>
        </w:rPr>
        <w:t>Tohan</w:t>
      </w:r>
      <w:proofErr w:type="spellEnd"/>
      <w:r w:rsidR="006D3284" w:rsidRPr="006D3284">
        <w:rPr>
          <w:rFonts w:ascii="Times New Roman" w:eastAsiaTheme="minorHAnsi" w:hAnsi="Times New Roman" w:cs="Times New Roman"/>
          <w:b w:val="0"/>
          <w:color w:val="000000" w:themeColor="text1"/>
          <w:sz w:val="22"/>
          <w:szCs w:val="22"/>
        </w:rPr>
        <w:t xml:space="preserve"> et al., 2024).</w:t>
      </w:r>
      <w:r w:rsidR="006D3284">
        <w:rPr>
          <w:rFonts w:ascii="Times New Roman" w:eastAsiaTheme="minorHAnsi" w:hAnsi="Times New Roman" w:cs="Times New Roman"/>
          <w:b w:val="0"/>
          <w:color w:val="000000" w:themeColor="text1"/>
          <w:sz w:val="22"/>
          <w:szCs w:val="22"/>
        </w:rPr>
        <w:t xml:space="preserve"> </w:t>
      </w:r>
      <w:r w:rsidR="00B22BD6" w:rsidRPr="002B1E61">
        <w:rPr>
          <w:rFonts w:ascii="Times New Roman" w:eastAsiaTheme="minorHAnsi" w:hAnsi="Times New Roman" w:cs="Times New Roman"/>
          <w:b w:val="0"/>
          <w:color w:val="000000" w:themeColor="text1"/>
          <w:sz w:val="22"/>
          <w:szCs w:val="22"/>
        </w:rPr>
        <w:t xml:space="preserve">Table 1 summarizes commonly used prescription medicines involved in </w:t>
      </w:r>
      <w:r w:rsidR="00EA1948">
        <w:rPr>
          <w:rFonts w:ascii="Times New Roman" w:eastAsiaTheme="minorHAnsi" w:hAnsi="Times New Roman" w:cs="Times New Roman"/>
          <w:b w:val="0"/>
          <w:color w:val="000000" w:themeColor="text1"/>
          <w:sz w:val="22"/>
          <w:szCs w:val="22"/>
        </w:rPr>
        <w:t>self-medication</w:t>
      </w:r>
      <w:r w:rsidR="00B22BD6" w:rsidRPr="002B1E61">
        <w:rPr>
          <w:rFonts w:ascii="Times New Roman" w:eastAsiaTheme="minorHAnsi" w:hAnsi="Times New Roman" w:cs="Times New Roman"/>
          <w:b w:val="0"/>
          <w:color w:val="000000" w:themeColor="text1"/>
          <w:sz w:val="22"/>
          <w:szCs w:val="22"/>
        </w:rPr>
        <w:t xml:space="preserve"> practices and highlights their intended therapeutic use along with associated safety concerns. The table illustrates that a wide range of drug classes</w:t>
      </w:r>
      <w:r w:rsidR="00B22BD6">
        <w:rPr>
          <w:rFonts w:ascii="Times New Roman" w:eastAsiaTheme="minorHAnsi" w:hAnsi="Times New Roman" w:cs="Times New Roman"/>
          <w:b w:val="0"/>
          <w:color w:val="000000" w:themeColor="text1"/>
          <w:sz w:val="22"/>
          <w:szCs w:val="22"/>
        </w:rPr>
        <w:t xml:space="preserve"> </w:t>
      </w:r>
      <w:r w:rsidR="00B22BD6" w:rsidRPr="002B1E61">
        <w:rPr>
          <w:rFonts w:ascii="Times New Roman" w:eastAsiaTheme="minorHAnsi" w:hAnsi="Times New Roman" w:cs="Times New Roman"/>
          <w:b w:val="0"/>
          <w:color w:val="000000" w:themeColor="text1"/>
          <w:sz w:val="22"/>
          <w:szCs w:val="22"/>
        </w:rPr>
        <w:t>including antibiotics, analgesics, acid-suppressing agents, and medications for chronic and acute conditions</w:t>
      </w:r>
      <w:r w:rsidR="00B22BD6">
        <w:rPr>
          <w:rFonts w:ascii="Times New Roman" w:eastAsiaTheme="minorHAnsi" w:hAnsi="Times New Roman" w:cs="Times New Roman"/>
          <w:b w:val="0"/>
          <w:color w:val="000000" w:themeColor="text1"/>
          <w:sz w:val="22"/>
          <w:szCs w:val="22"/>
        </w:rPr>
        <w:t xml:space="preserve"> </w:t>
      </w:r>
      <w:r w:rsidR="00B22BD6" w:rsidRPr="002B1E61">
        <w:rPr>
          <w:rFonts w:ascii="Times New Roman" w:eastAsiaTheme="minorHAnsi" w:hAnsi="Times New Roman" w:cs="Times New Roman"/>
          <w:b w:val="0"/>
          <w:color w:val="000000" w:themeColor="text1"/>
          <w:sz w:val="22"/>
          <w:szCs w:val="22"/>
        </w:rPr>
        <w:t xml:space="preserve">are frequently used without professional supervision, underscoring the potential public health risks associated with inappropriate </w:t>
      </w:r>
      <w:r w:rsidR="00EA1948">
        <w:rPr>
          <w:rFonts w:ascii="Times New Roman" w:eastAsiaTheme="minorHAnsi" w:hAnsi="Times New Roman" w:cs="Times New Roman"/>
          <w:b w:val="0"/>
          <w:color w:val="000000" w:themeColor="text1"/>
          <w:sz w:val="22"/>
          <w:szCs w:val="22"/>
        </w:rPr>
        <w:t>self-medication</w:t>
      </w:r>
      <w:r w:rsidR="00B22BD6" w:rsidRPr="002B1E61">
        <w:rPr>
          <w:rFonts w:ascii="Times New Roman" w:eastAsiaTheme="minorHAnsi" w:hAnsi="Times New Roman" w:cs="Times New Roman"/>
          <w:b w:val="0"/>
          <w:color w:val="000000" w:themeColor="text1"/>
          <w:sz w:val="22"/>
          <w:szCs w:val="22"/>
        </w:rPr>
        <w:t>.</w:t>
      </w:r>
    </w:p>
    <w:p w14:paraId="43A6E015" w14:textId="77777777" w:rsidR="00191E22" w:rsidRPr="00191E22" w:rsidRDefault="00191E22" w:rsidP="00191E22"/>
    <w:p w14:paraId="7921E51E" w14:textId="77777777" w:rsidR="009500C4" w:rsidRPr="000A1D09" w:rsidRDefault="009500C4" w:rsidP="009500C4">
      <w:pPr>
        <w:pStyle w:val="Heading1"/>
        <w:spacing w:before="0" w:line="240" w:lineRule="auto"/>
        <w:jc w:val="both"/>
        <w:rPr>
          <w:rFonts w:ascii="Times New Roman" w:eastAsiaTheme="minorHAnsi" w:hAnsi="Times New Roman" w:cs="Times New Roman"/>
          <w:b w:val="0"/>
          <w:color w:val="FF0000"/>
          <w:sz w:val="22"/>
          <w:szCs w:val="22"/>
        </w:rPr>
      </w:pPr>
    </w:p>
    <w:p w14:paraId="035E84F1" w14:textId="222731A2" w:rsidR="009500C4" w:rsidRPr="000A1D09" w:rsidRDefault="005A67AD" w:rsidP="009500C4">
      <w:pPr>
        <w:spacing w:after="0" w:line="240" w:lineRule="auto"/>
        <w:jc w:val="both"/>
        <w:rPr>
          <w:rFonts w:ascii="Times New Roman" w:hAnsi="Times New Roman" w:cs="Times New Roman"/>
          <w:bCs/>
          <w:color w:val="000000" w:themeColor="text1"/>
        </w:rPr>
      </w:pPr>
      <w:r w:rsidRPr="000A1D09">
        <w:rPr>
          <w:rFonts w:ascii="Times New Roman" w:hAnsi="Times New Roman" w:cs="Times New Roman"/>
          <w:bCs/>
          <w:color w:val="000000" w:themeColor="text1"/>
        </w:rPr>
        <w:t xml:space="preserve">Table 1. </w:t>
      </w:r>
      <w:r w:rsidR="00307346" w:rsidRPr="000A1D09">
        <w:rPr>
          <w:rFonts w:ascii="Times New Roman" w:hAnsi="Times New Roman" w:cs="Times New Roman"/>
          <w:bCs/>
          <w:color w:val="000000" w:themeColor="text1"/>
        </w:rPr>
        <w:t xml:space="preserve">Common prescription medicines </w:t>
      </w:r>
      <w:proofErr w:type="gramStart"/>
      <w:r w:rsidR="00307346" w:rsidRPr="000A1D09">
        <w:rPr>
          <w:rFonts w:ascii="Times New Roman" w:hAnsi="Times New Roman" w:cs="Times New Roman"/>
          <w:bCs/>
          <w:color w:val="000000" w:themeColor="text1"/>
        </w:rPr>
        <w:t>used</w:t>
      </w:r>
      <w:proofErr w:type="gramEnd"/>
      <w:r w:rsidR="00307346" w:rsidRPr="000A1D09">
        <w:rPr>
          <w:rFonts w:ascii="Times New Roman" w:hAnsi="Times New Roman" w:cs="Times New Roman"/>
          <w:bCs/>
          <w:color w:val="000000" w:themeColor="text1"/>
        </w:rPr>
        <w:t xml:space="preserve"> for self-medication and associated safety concerns</w:t>
      </w:r>
      <w:r w:rsidRPr="000A1D09">
        <w:rPr>
          <w:rFonts w:ascii="Times New Roman" w:hAnsi="Times New Roman" w:cs="Times New Roman"/>
          <w:bCs/>
          <w:color w:val="000000" w:themeColor="text1"/>
        </w:rPr>
        <w:t>.</w:t>
      </w:r>
    </w:p>
    <w:tbl>
      <w:tblPr>
        <w:tblStyle w:val="TableGrid"/>
        <w:tblW w:w="10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4"/>
        <w:gridCol w:w="2229"/>
        <w:gridCol w:w="1514"/>
        <w:gridCol w:w="2384"/>
        <w:gridCol w:w="2229"/>
      </w:tblGrid>
      <w:tr w:rsidR="003C0E93" w:rsidRPr="000A1D09" w14:paraId="5EC60AA6" w14:textId="77777777" w:rsidTr="003C0E93">
        <w:trPr>
          <w:trHeight w:val="526"/>
        </w:trPr>
        <w:tc>
          <w:tcPr>
            <w:tcW w:w="2134" w:type="dxa"/>
            <w:vAlign w:val="center"/>
          </w:tcPr>
          <w:p w14:paraId="375A9E67" w14:textId="785E94E3" w:rsidR="00915899" w:rsidRPr="000A1D09" w:rsidRDefault="00EA1948" w:rsidP="00915899">
            <w:pPr>
              <w:jc w:val="center"/>
              <w:rPr>
                <w:rFonts w:ascii="Times New Roman" w:hAnsi="Times New Roman" w:cs="Times New Roman"/>
                <w:bCs/>
                <w:color w:val="000000" w:themeColor="text1"/>
              </w:rPr>
            </w:pPr>
            <w:r w:rsidRPr="000A1D09">
              <w:rPr>
                <w:rFonts w:ascii="Times New Roman" w:hAnsi="Times New Roman" w:cs="Times New Roman"/>
                <w:b/>
              </w:rPr>
              <w:t>Self-medication</w:t>
            </w:r>
            <w:r w:rsidR="00915899" w:rsidRPr="000A1D09">
              <w:rPr>
                <w:rFonts w:ascii="Times New Roman" w:hAnsi="Times New Roman" w:cs="Times New Roman"/>
                <w:b/>
              </w:rPr>
              <w:t xml:space="preserve"> Category</w:t>
            </w:r>
          </w:p>
        </w:tc>
        <w:tc>
          <w:tcPr>
            <w:tcW w:w="2229" w:type="dxa"/>
            <w:vAlign w:val="center"/>
          </w:tcPr>
          <w:p w14:paraId="2A7BB999" w14:textId="11D3B1D6" w:rsidR="00915899" w:rsidRPr="000A1D09" w:rsidRDefault="00915899" w:rsidP="00915899">
            <w:pPr>
              <w:jc w:val="center"/>
              <w:rPr>
                <w:rFonts w:ascii="Times New Roman" w:hAnsi="Times New Roman" w:cs="Times New Roman"/>
                <w:bCs/>
                <w:color w:val="000000" w:themeColor="text1"/>
              </w:rPr>
            </w:pPr>
            <w:r w:rsidRPr="000A1D09">
              <w:rPr>
                <w:rFonts w:ascii="Times New Roman" w:hAnsi="Times New Roman" w:cs="Times New Roman"/>
                <w:b/>
              </w:rPr>
              <w:t>Common Examples</w:t>
            </w:r>
          </w:p>
        </w:tc>
        <w:tc>
          <w:tcPr>
            <w:tcW w:w="1514" w:type="dxa"/>
            <w:vAlign w:val="center"/>
          </w:tcPr>
          <w:p w14:paraId="678BF6CD" w14:textId="015A10A6" w:rsidR="00915899" w:rsidRPr="000A1D09" w:rsidRDefault="00915899" w:rsidP="00915899">
            <w:pPr>
              <w:jc w:val="center"/>
              <w:rPr>
                <w:rFonts w:ascii="Times New Roman" w:hAnsi="Times New Roman" w:cs="Times New Roman"/>
                <w:bCs/>
                <w:color w:val="000000" w:themeColor="text1"/>
              </w:rPr>
            </w:pPr>
            <w:r w:rsidRPr="000A1D09">
              <w:rPr>
                <w:rFonts w:ascii="Times New Roman" w:hAnsi="Times New Roman" w:cs="Times New Roman"/>
                <w:b/>
              </w:rPr>
              <w:t>Intended Use</w:t>
            </w:r>
          </w:p>
        </w:tc>
        <w:tc>
          <w:tcPr>
            <w:tcW w:w="2384" w:type="dxa"/>
            <w:vAlign w:val="center"/>
          </w:tcPr>
          <w:p w14:paraId="7F87F69A" w14:textId="773D62BA" w:rsidR="00915899" w:rsidRPr="000A1D09" w:rsidRDefault="00915899" w:rsidP="00915899">
            <w:pPr>
              <w:jc w:val="center"/>
              <w:rPr>
                <w:rFonts w:ascii="Times New Roman" w:hAnsi="Times New Roman" w:cs="Times New Roman"/>
                <w:bCs/>
                <w:color w:val="000000" w:themeColor="text1"/>
              </w:rPr>
            </w:pPr>
            <w:r w:rsidRPr="000A1D09">
              <w:rPr>
                <w:rFonts w:ascii="Times New Roman" w:hAnsi="Times New Roman" w:cs="Times New Roman"/>
                <w:b/>
              </w:rPr>
              <w:t>Potential Concern</w:t>
            </w:r>
          </w:p>
        </w:tc>
        <w:tc>
          <w:tcPr>
            <w:tcW w:w="2229" w:type="dxa"/>
            <w:vAlign w:val="center"/>
          </w:tcPr>
          <w:p w14:paraId="1E0C73E0" w14:textId="09018325" w:rsidR="00915899" w:rsidRPr="000A1D09" w:rsidRDefault="00915899" w:rsidP="00915899">
            <w:pPr>
              <w:jc w:val="center"/>
              <w:rPr>
                <w:rFonts w:ascii="Times New Roman" w:hAnsi="Times New Roman" w:cs="Times New Roman"/>
                <w:bCs/>
                <w:color w:val="000000" w:themeColor="text1"/>
              </w:rPr>
            </w:pPr>
            <w:r w:rsidRPr="000A1D09">
              <w:rPr>
                <w:rFonts w:ascii="Times New Roman" w:hAnsi="Times New Roman" w:cs="Times New Roman"/>
                <w:b/>
              </w:rPr>
              <w:t>Reference</w:t>
            </w:r>
          </w:p>
        </w:tc>
      </w:tr>
      <w:tr w:rsidR="003C0E93" w:rsidRPr="000A1D09" w14:paraId="090D9E45" w14:textId="77777777" w:rsidTr="003C0E93">
        <w:trPr>
          <w:trHeight w:val="526"/>
        </w:trPr>
        <w:tc>
          <w:tcPr>
            <w:tcW w:w="2134" w:type="dxa"/>
            <w:vAlign w:val="center"/>
          </w:tcPr>
          <w:p w14:paraId="6E937DEF" w14:textId="1A10CDFA" w:rsidR="00915899" w:rsidRPr="000A1D09" w:rsidRDefault="00915899" w:rsidP="00582D1D">
            <w:pPr>
              <w:rPr>
                <w:rFonts w:ascii="Times New Roman" w:hAnsi="Times New Roman" w:cs="Times New Roman"/>
                <w:bCs/>
                <w:color w:val="000000" w:themeColor="text1"/>
              </w:rPr>
            </w:pPr>
            <w:r w:rsidRPr="000A1D09">
              <w:rPr>
                <w:rFonts w:ascii="Times New Roman" w:hAnsi="Times New Roman" w:cs="Times New Roman"/>
              </w:rPr>
              <w:t>Antibiotics</w:t>
            </w:r>
          </w:p>
        </w:tc>
        <w:tc>
          <w:tcPr>
            <w:tcW w:w="2229" w:type="dxa"/>
            <w:vAlign w:val="center"/>
          </w:tcPr>
          <w:p w14:paraId="2B532ECA" w14:textId="11BAB7C1" w:rsidR="00915899" w:rsidRPr="000A1D09" w:rsidRDefault="00915899" w:rsidP="00582D1D">
            <w:pPr>
              <w:rPr>
                <w:rFonts w:ascii="Times New Roman" w:hAnsi="Times New Roman" w:cs="Times New Roman"/>
                <w:bCs/>
                <w:color w:val="000000" w:themeColor="text1"/>
              </w:rPr>
            </w:pPr>
            <w:r w:rsidRPr="000A1D09">
              <w:rPr>
                <w:rFonts w:ascii="Times New Roman" w:hAnsi="Times New Roman" w:cs="Times New Roman"/>
              </w:rPr>
              <w:t>Amoxicillin, Azithromycin</w:t>
            </w:r>
          </w:p>
        </w:tc>
        <w:tc>
          <w:tcPr>
            <w:tcW w:w="1514" w:type="dxa"/>
            <w:vAlign w:val="center"/>
          </w:tcPr>
          <w:p w14:paraId="3136C3B1" w14:textId="432828FA" w:rsidR="00915899" w:rsidRPr="000A1D09" w:rsidRDefault="00915899" w:rsidP="00582D1D">
            <w:pPr>
              <w:rPr>
                <w:rFonts w:ascii="Times New Roman" w:hAnsi="Times New Roman" w:cs="Times New Roman"/>
                <w:bCs/>
                <w:color w:val="000000" w:themeColor="text1"/>
              </w:rPr>
            </w:pPr>
            <w:r w:rsidRPr="000A1D09">
              <w:rPr>
                <w:rFonts w:ascii="Times New Roman" w:hAnsi="Times New Roman" w:cs="Times New Roman"/>
              </w:rPr>
              <w:t>Infections</w:t>
            </w:r>
          </w:p>
        </w:tc>
        <w:tc>
          <w:tcPr>
            <w:tcW w:w="2384" w:type="dxa"/>
            <w:vAlign w:val="center"/>
          </w:tcPr>
          <w:p w14:paraId="1CFE1BA5" w14:textId="7BACE56D" w:rsidR="002926A5" w:rsidRPr="000A1D09" w:rsidRDefault="00915899" w:rsidP="00582D1D">
            <w:pPr>
              <w:rPr>
                <w:rFonts w:ascii="Times New Roman" w:hAnsi="Times New Roman" w:cs="Times New Roman"/>
              </w:rPr>
            </w:pPr>
            <w:r w:rsidRPr="000A1D09">
              <w:rPr>
                <w:rFonts w:ascii="Times New Roman" w:hAnsi="Times New Roman" w:cs="Times New Roman"/>
              </w:rPr>
              <w:t>Antimicrobial resistance</w:t>
            </w:r>
          </w:p>
        </w:tc>
        <w:tc>
          <w:tcPr>
            <w:tcW w:w="2229" w:type="dxa"/>
            <w:vAlign w:val="center"/>
          </w:tcPr>
          <w:p w14:paraId="5B774136" w14:textId="18B725F7" w:rsidR="00915899" w:rsidRPr="000A1D09" w:rsidRDefault="00B648FE" w:rsidP="00582D1D">
            <w:pPr>
              <w:rPr>
                <w:rFonts w:ascii="Times New Roman" w:hAnsi="Times New Roman" w:cs="Times New Roman"/>
                <w:bCs/>
                <w:color w:val="000000" w:themeColor="text1"/>
              </w:rPr>
            </w:pPr>
            <w:r w:rsidRPr="000A1D09">
              <w:rPr>
                <w:rFonts w:ascii="Times New Roman" w:hAnsi="Times New Roman" w:cs="Times New Roman"/>
              </w:rPr>
              <w:t>(Shah et al., 2014)</w:t>
            </w:r>
          </w:p>
        </w:tc>
      </w:tr>
      <w:tr w:rsidR="003C0E93" w:rsidRPr="000A1D09" w14:paraId="3EC5E58D" w14:textId="77777777" w:rsidTr="003C0E93">
        <w:trPr>
          <w:trHeight w:val="516"/>
        </w:trPr>
        <w:tc>
          <w:tcPr>
            <w:tcW w:w="2134" w:type="dxa"/>
            <w:vAlign w:val="center"/>
          </w:tcPr>
          <w:p w14:paraId="001AF873" w14:textId="3E8BC2B2" w:rsidR="00C7165A" w:rsidRPr="000A1D09" w:rsidRDefault="00C7165A" w:rsidP="00582D1D">
            <w:pPr>
              <w:rPr>
                <w:rFonts w:ascii="Times New Roman" w:hAnsi="Times New Roman" w:cs="Times New Roman"/>
              </w:rPr>
            </w:pPr>
            <w:r w:rsidRPr="000A1D09">
              <w:rPr>
                <w:rFonts w:ascii="Times New Roman" w:hAnsi="Times New Roman" w:cs="Times New Roman"/>
              </w:rPr>
              <w:t>NSAIDs</w:t>
            </w:r>
          </w:p>
        </w:tc>
        <w:tc>
          <w:tcPr>
            <w:tcW w:w="2229" w:type="dxa"/>
            <w:vAlign w:val="center"/>
          </w:tcPr>
          <w:p w14:paraId="25BA0635" w14:textId="3CD9F539" w:rsidR="002926A5" w:rsidRPr="000A1D09" w:rsidRDefault="00C7165A" w:rsidP="00582D1D">
            <w:pPr>
              <w:rPr>
                <w:rFonts w:ascii="Times New Roman" w:hAnsi="Times New Roman" w:cs="Times New Roman"/>
              </w:rPr>
            </w:pPr>
            <w:r w:rsidRPr="000A1D09">
              <w:rPr>
                <w:rFonts w:ascii="Times New Roman" w:hAnsi="Times New Roman" w:cs="Times New Roman"/>
              </w:rPr>
              <w:t>Diclofenac, Naproxen</w:t>
            </w:r>
          </w:p>
        </w:tc>
        <w:tc>
          <w:tcPr>
            <w:tcW w:w="1514" w:type="dxa"/>
            <w:vAlign w:val="center"/>
          </w:tcPr>
          <w:p w14:paraId="6C8CDC18" w14:textId="5BDC9FD5" w:rsidR="002926A5" w:rsidRPr="000A1D09" w:rsidRDefault="00C7165A" w:rsidP="00582D1D">
            <w:pPr>
              <w:rPr>
                <w:rFonts w:ascii="Times New Roman" w:hAnsi="Times New Roman" w:cs="Times New Roman"/>
              </w:rPr>
            </w:pPr>
            <w:r w:rsidRPr="000A1D09">
              <w:rPr>
                <w:rFonts w:ascii="Times New Roman" w:hAnsi="Times New Roman" w:cs="Times New Roman"/>
              </w:rPr>
              <w:t>Inflammation, pain</w:t>
            </w:r>
          </w:p>
        </w:tc>
        <w:tc>
          <w:tcPr>
            <w:tcW w:w="2384" w:type="dxa"/>
            <w:vAlign w:val="center"/>
          </w:tcPr>
          <w:p w14:paraId="72E47FD3" w14:textId="6E13A461" w:rsidR="00C7165A" w:rsidRPr="000A1D09" w:rsidRDefault="00C7165A" w:rsidP="00582D1D">
            <w:pPr>
              <w:rPr>
                <w:rFonts w:ascii="Times New Roman" w:hAnsi="Times New Roman" w:cs="Times New Roman"/>
              </w:rPr>
            </w:pPr>
            <w:r w:rsidRPr="000A1D09">
              <w:rPr>
                <w:rFonts w:ascii="Times New Roman" w:hAnsi="Times New Roman" w:cs="Times New Roman"/>
              </w:rPr>
              <w:t>GI bleeding, cardiovascular risk</w:t>
            </w:r>
          </w:p>
        </w:tc>
        <w:tc>
          <w:tcPr>
            <w:tcW w:w="2229" w:type="dxa"/>
            <w:vAlign w:val="center"/>
          </w:tcPr>
          <w:p w14:paraId="4308AC47" w14:textId="70FBDBB6" w:rsidR="00C7165A" w:rsidRPr="000A1D09" w:rsidRDefault="002A3935" w:rsidP="00582D1D">
            <w:pPr>
              <w:rPr>
                <w:rFonts w:ascii="Times New Roman" w:hAnsi="Times New Roman" w:cs="Times New Roman"/>
              </w:rPr>
            </w:pPr>
            <w:r w:rsidRPr="000A1D09">
              <w:rPr>
                <w:rFonts w:ascii="Times New Roman" w:hAnsi="Times New Roman" w:cs="Times New Roman"/>
              </w:rPr>
              <w:t>(Krasniqi et al., 2024)</w:t>
            </w:r>
          </w:p>
        </w:tc>
      </w:tr>
      <w:tr w:rsidR="003C0E93" w:rsidRPr="000A1D09" w14:paraId="4333F488" w14:textId="77777777" w:rsidTr="003C0E93">
        <w:trPr>
          <w:trHeight w:val="1318"/>
        </w:trPr>
        <w:tc>
          <w:tcPr>
            <w:tcW w:w="2134" w:type="dxa"/>
            <w:vAlign w:val="center"/>
          </w:tcPr>
          <w:p w14:paraId="66F86700" w14:textId="474E21EC" w:rsidR="002A3935" w:rsidRPr="000A1D09" w:rsidRDefault="002A3935" w:rsidP="00582D1D">
            <w:pPr>
              <w:rPr>
                <w:rFonts w:ascii="Times New Roman" w:hAnsi="Times New Roman" w:cs="Times New Roman"/>
              </w:rPr>
            </w:pPr>
            <w:r w:rsidRPr="000A1D09">
              <w:rPr>
                <w:rFonts w:ascii="Times New Roman" w:hAnsi="Times New Roman" w:cs="Times New Roman"/>
              </w:rPr>
              <w:t>Cough &amp; Common Cold Medicines</w:t>
            </w:r>
          </w:p>
        </w:tc>
        <w:tc>
          <w:tcPr>
            <w:tcW w:w="2229" w:type="dxa"/>
            <w:vAlign w:val="center"/>
          </w:tcPr>
          <w:p w14:paraId="16027F78" w14:textId="77777777" w:rsidR="002A3935" w:rsidRPr="000A1D09" w:rsidRDefault="002A3935" w:rsidP="00582D1D">
            <w:pPr>
              <w:rPr>
                <w:rFonts w:ascii="Times New Roman" w:hAnsi="Times New Roman" w:cs="Times New Roman"/>
              </w:rPr>
            </w:pPr>
            <w:r w:rsidRPr="000A1D09">
              <w:rPr>
                <w:rFonts w:ascii="Times New Roman" w:hAnsi="Times New Roman" w:cs="Times New Roman"/>
              </w:rPr>
              <w:t>Codeine</w:t>
            </w:r>
            <w:r w:rsidR="002926A5" w:rsidRPr="000A1D09">
              <w:rPr>
                <w:rFonts w:ascii="Times New Roman" w:hAnsi="Times New Roman" w:cs="Times New Roman"/>
              </w:rPr>
              <w:t xml:space="preserve"> </w:t>
            </w:r>
            <w:r w:rsidRPr="000A1D09">
              <w:rPr>
                <w:rFonts w:ascii="Times New Roman" w:hAnsi="Times New Roman" w:cs="Times New Roman"/>
              </w:rPr>
              <w:t>containing syrups, antihistamine</w:t>
            </w:r>
            <w:r w:rsidR="00835F94" w:rsidRPr="000A1D09">
              <w:rPr>
                <w:rFonts w:ascii="Times New Roman" w:hAnsi="Times New Roman" w:cs="Times New Roman"/>
              </w:rPr>
              <w:t xml:space="preserve"> &amp; </w:t>
            </w:r>
            <w:r w:rsidRPr="000A1D09">
              <w:rPr>
                <w:rFonts w:ascii="Times New Roman" w:hAnsi="Times New Roman" w:cs="Times New Roman"/>
              </w:rPr>
              <w:t>decongestant combinations</w:t>
            </w:r>
          </w:p>
          <w:p w14:paraId="62945B77" w14:textId="7A3E05CD" w:rsidR="002926A5" w:rsidRPr="000A1D09" w:rsidRDefault="002926A5" w:rsidP="00582D1D">
            <w:pPr>
              <w:rPr>
                <w:rFonts w:ascii="Times New Roman" w:hAnsi="Times New Roman" w:cs="Times New Roman"/>
              </w:rPr>
            </w:pPr>
          </w:p>
        </w:tc>
        <w:tc>
          <w:tcPr>
            <w:tcW w:w="1514" w:type="dxa"/>
            <w:vAlign w:val="center"/>
          </w:tcPr>
          <w:p w14:paraId="7085D6B8" w14:textId="4FB52316" w:rsidR="002A3935" w:rsidRPr="000A1D09" w:rsidRDefault="002A3935" w:rsidP="00582D1D">
            <w:pPr>
              <w:rPr>
                <w:rFonts w:ascii="Times New Roman" w:hAnsi="Times New Roman" w:cs="Times New Roman"/>
              </w:rPr>
            </w:pPr>
            <w:r w:rsidRPr="000A1D09">
              <w:rPr>
                <w:rFonts w:ascii="Times New Roman" w:hAnsi="Times New Roman" w:cs="Times New Roman"/>
              </w:rPr>
              <w:t>Cold, flu symptoms</w:t>
            </w:r>
          </w:p>
        </w:tc>
        <w:tc>
          <w:tcPr>
            <w:tcW w:w="2384" w:type="dxa"/>
            <w:vAlign w:val="center"/>
          </w:tcPr>
          <w:p w14:paraId="598B3FA9" w14:textId="730FD184" w:rsidR="002A3935" w:rsidRPr="000A1D09" w:rsidRDefault="002A3935" w:rsidP="00582D1D">
            <w:pPr>
              <w:rPr>
                <w:rFonts w:ascii="Times New Roman" w:hAnsi="Times New Roman" w:cs="Times New Roman"/>
              </w:rPr>
            </w:pPr>
            <w:r w:rsidRPr="000A1D09">
              <w:rPr>
                <w:rFonts w:ascii="Times New Roman" w:hAnsi="Times New Roman" w:cs="Times New Roman"/>
              </w:rPr>
              <w:t>Sedation, dependence</w:t>
            </w:r>
          </w:p>
        </w:tc>
        <w:tc>
          <w:tcPr>
            <w:tcW w:w="2229" w:type="dxa"/>
            <w:vAlign w:val="center"/>
          </w:tcPr>
          <w:p w14:paraId="4E16291C" w14:textId="2D7033F0" w:rsidR="002A3935" w:rsidRPr="000A1D09" w:rsidRDefault="00BB6B2D" w:rsidP="00582D1D">
            <w:pPr>
              <w:rPr>
                <w:rFonts w:ascii="Times New Roman" w:hAnsi="Times New Roman" w:cs="Times New Roman"/>
              </w:rPr>
            </w:pPr>
            <w:r w:rsidRPr="000A1D09">
              <w:rPr>
                <w:rFonts w:ascii="Times New Roman" w:hAnsi="Times New Roman" w:cs="Times New Roman"/>
              </w:rPr>
              <w:t>(Tian et al., 2025)</w:t>
            </w:r>
          </w:p>
        </w:tc>
      </w:tr>
      <w:tr w:rsidR="003C0E93" w:rsidRPr="000A1D09" w14:paraId="47721AB0" w14:textId="77777777" w:rsidTr="003C0E93">
        <w:trPr>
          <w:trHeight w:val="526"/>
        </w:trPr>
        <w:tc>
          <w:tcPr>
            <w:tcW w:w="2134" w:type="dxa"/>
            <w:vAlign w:val="center"/>
          </w:tcPr>
          <w:p w14:paraId="53EEDE10" w14:textId="638FE0AE" w:rsidR="00E2294E" w:rsidRPr="000A1D09" w:rsidRDefault="00E2294E" w:rsidP="00E2294E">
            <w:pPr>
              <w:rPr>
                <w:rFonts w:ascii="Times New Roman" w:hAnsi="Times New Roman" w:cs="Times New Roman"/>
              </w:rPr>
            </w:pPr>
            <w:r w:rsidRPr="000A1D09">
              <w:rPr>
                <w:rFonts w:ascii="Times New Roman" w:hAnsi="Times New Roman" w:cs="Times New Roman"/>
              </w:rPr>
              <w:t>Vitamins &amp; Minerals</w:t>
            </w:r>
          </w:p>
        </w:tc>
        <w:tc>
          <w:tcPr>
            <w:tcW w:w="2229" w:type="dxa"/>
            <w:vAlign w:val="center"/>
          </w:tcPr>
          <w:p w14:paraId="0DC9FCBC" w14:textId="186429DB" w:rsidR="00E2294E" w:rsidRPr="000A1D09" w:rsidRDefault="00E2294E" w:rsidP="00E2294E">
            <w:pPr>
              <w:rPr>
                <w:rFonts w:ascii="Times New Roman" w:hAnsi="Times New Roman" w:cs="Times New Roman"/>
              </w:rPr>
            </w:pPr>
            <w:r w:rsidRPr="000A1D09">
              <w:rPr>
                <w:rFonts w:ascii="Times New Roman" w:hAnsi="Times New Roman" w:cs="Times New Roman"/>
              </w:rPr>
              <w:t>Vitamin D (high dose), Iron, Zinc</w:t>
            </w:r>
          </w:p>
        </w:tc>
        <w:tc>
          <w:tcPr>
            <w:tcW w:w="1514" w:type="dxa"/>
            <w:vAlign w:val="center"/>
          </w:tcPr>
          <w:p w14:paraId="18F16183" w14:textId="55A6640A" w:rsidR="00E2294E" w:rsidRPr="000A1D09" w:rsidRDefault="00E2294E" w:rsidP="00E2294E">
            <w:pPr>
              <w:rPr>
                <w:rFonts w:ascii="Times New Roman" w:hAnsi="Times New Roman" w:cs="Times New Roman"/>
              </w:rPr>
            </w:pPr>
            <w:r w:rsidRPr="000A1D09">
              <w:rPr>
                <w:rFonts w:ascii="Times New Roman" w:hAnsi="Times New Roman" w:cs="Times New Roman"/>
              </w:rPr>
              <w:t>Immunity, fatigue</w:t>
            </w:r>
          </w:p>
        </w:tc>
        <w:tc>
          <w:tcPr>
            <w:tcW w:w="2384" w:type="dxa"/>
            <w:vAlign w:val="center"/>
          </w:tcPr>
          <w:p w14:paraId="7F368E51" w14:textId="6B58B749" w:rsidR="00E2294E" w:rsidRPr="000A1D09" w:rsidRDefault="00E2294E" w:rsidP="00E2294E">
            <w:pPr>
              <w:rPr>
                <w:rFonts w:ascii="Times New Roman" w:hAnsi="Times New Roman" w:cs="Times New Roman"/>
              </w:rPr>
            </w:pPr>
            <w:r w:rsidRPr="000A1D09">
              <w:rPr>
                <w:rFonts w:ascii="Times New Roman" w:hAnsi="Times New Roman" w:cs="Times New Roman"/>
              </w:rPr>
              <w:t>Toxicity, organ damage</w:t>
            </w:r>
          </w:p>
        </w:tc>
        <w:tc>
          <w:tcPr>
            <w:tcW w:w="2229" w:type="dxa"/>
            <w:vAlign w:val="center"/>
          </w:tcPr>
          <w:p w14:paraId="6AFEAE50" w14:textId="334313A8" w:rsidR="00E2294E" w:rsidRPr="000A1D09" w:rsidRDefault="00E6009F" w:rsidP="00E2294E">
            <w:pPr>
              <w:rPr>
                <w:rFonts w:ascii="Times New Roman" w:hAnsi="Times New Roman" w:cs="Times New Roman"/>
              </w:rPr>
            </w:pPr>
            <w:r w:rsidRPr="000A1D09">
              <w:rPr>
                <w:rFonts w:ascii="Times New Roman" w:hAnsi="Times New Roman" w:cs="Times New Roman"/>
              </w:rPr>
              <w:t>(</w:t>
            </w:r>
            <w:proofErr w:type="gramStart"/>
            <w:r w:rsidRPr="000A1D09">
              <w:rPr>
                <w:rFonts w:ascii="Times New Roman" w:hAnsi="Times New Roman" w:cs="Times New Roman"/>
              </w:rPr>
              <w:t>Badr</w:t>
            </w:r>
            <w:proofErr w:type="gramEnd"/>
            <w:r w:rsidRPr="000A1D09">
              <w:rPr>
                <w:rFonts w:ascii="Times New Roman" w:hAnsi="Times New Roman" w:cs="Times New Roman"/>
              </w:rPr>
              <w:t xml:space="preserve"> et al., 2022)</w:t>
            </w:r>
          </w:p>
        </w:tc>
      </w:tr>
      <w:tr w:rsidR="003C0E93" w:rsidRPr="000A1D09" w14:paraId="0F592942" w14:textId="77777777" w:rsidTr="003C0E93">
        <w:trPr>
          <w:trHeight w:val="786"/>
        </w:trPr>
        <w:tc>
          <w:tcPr>
            <w:tcW w:w="2134" w:type="dxa"/>
            <w:vAlign w:val="center"/>
          </w:tcPr>
          <w:p w14:paraId="500820C5" w14:textId="3A4215AE" w:rsidR="00E2294E" w:rsidRPr="000A1D09" w:rsidRDefault="00E2294E" w:rsidP="00E2294E">
            <w:pPr>
              <w:rPr>
                <w:rFonts w:ascii="Times New Roman" w:hAnsi="Times New Roman" w:cs="Times New Roman"/>
              </w:rPr>
            </w:pPr>
            <w:r w:rsidRPr="000A1D09">
              <w:rPr>
                <w:rFonts w:ascii="Times New Roman" w:hAnsi="Times New Roman" w:cs="Times New Roman"/>
              </w:rPr>
              <w:t>Acid-Suppressing Drugs</w:t>
            </w:r>
          </w:p>
        </w:tc>
        <w:tc>
          <w:tcPr>
            <w:tcW w:w="2229" w:type="dxa"/>
            <w:vAlign w:val="center"/>
          </w:tcPr>
          <w:p w14:paraId="62DE053F" w14:textId="180FBCEB" w:rsidR="00E2294E" w:rsidRPr="000A1D09" w:rsidRDefault="00E2294E" w:rsidP="00E2294E">
            <w:pPr>
              <w:rPr>
                <w:rFonts w:ascii="Times New Roman" w:hAnsi="Times New Roman" w:cs="Times New Roman"/>
              </w:rPr>
            </w:pPr>
            <w:r w:rsidRPr="000A1D09">
              <w:rPr>
                <w:rFonts w:ascii="Times New Roman" w:hAnsi="Times New Roman" w:cs="Times New Roman"/>
              </w:rPr>
              <w:t>Pantoprazole</w:t>
            </w:r>
          </w:p>
        </w:tc>
        <w:tc>
          <w:tcPr>
            <w:tcW w:w="1514" w:type="dxa"/>
            <w:vAlign w:val="center"/>
          </w:tcPr>
          <w:p w14:paraId="7A7C405D" w14:textId="7203978C" w:rsidR="00E2294E" w:rsidRPr="000A1D09" w:rsidRDefault="00E2294E" w:rsidP="00E2294E">
            <w:pPr>
              <w:rPr>
                <w:rFonts w:ascii="Times New Roman" w:hAnsi="Times New Roman" w:cs="Times New Roman"/>
              </w:rPr>
            </w:pPr>
            <w:r w:rsidRPr="000A1D09">
              <w:rPr>
                <w:rFonts w:ascii="Times New Roman" w:hAnsi="Times New Roman" w:cs="Times New Roman"/>
              </w:rPr>
              <w:t>Acidity, GERD</w:t>
            </w:r>
          </w:p>
        </w:tc>
        <w:tc>
          <w:tcPr>
            <w:tcW w:w="2384" w:type="dxa"/>
            <w:vAlign w:val="center"/>
          </w:tcPr>
          <w:p w14:paraId="0BBE2101" w14:textId="0ED9C7AE" w:rsidR="00E2294E" w:rsidRPr="000A1D09" w:rsidRDefault="00E2294E" w:rsidP="00E2294E">
            <w:pPr>
              <w:rPr>
                <w:rFonts w:ascii="Times New Roman" w:hAnsi="Times New Roman" w:cs="Times New Roman"/>
              </w:rPr>
            </w:pPr>
            <w:r w:rsidRPr="000A1D09">
              <w:rPr>
                <w:rFonts w:ascii="Times New Roman" w:hAnsi="Times New Roman" w:cs="Times New Roman"/>
              </w:rPr>
              <w:t>Nutrient malabsorption, rebound acidity</w:t>
            </w:r>
          </w:p>
        </w:tc>
        <w:tc>
          <w:tcPr>
            <w:tcW w:w="2229" w:type="dxa"/>
            <w:vAlign w:val="center"/>
          </w:tcPr>
          <w:p w14:paraId="1804E886" w14:textId="4D764B80" w:rsidR="00E2294E" w:rsidRPr="000A1D09" w:rsidRDefault="00753798" w:rsidP="00E2294E">
            <w:pPr>
              <w:rPr>
                <w:rFonts w:ascii="Times New Roman" w:hAnsi="Times New Roman" w:cs="Times New Roman"/>
              </w:rPr>
            </w:pPr>
            <w:r w:rsidRPr="000A1D09">
              <w:rPr>
                <w:rFonts w:ascii="Times New Roman" w:hAnsi="Times New Roman" w:cs="Times New Roman"/>
              </w:rPr>
              <w:t>(Häcker &amp; Morck, 2012)</w:t>
            </w:r>
          </w:p>
        </w:tc>
      </w:tr>
      <w:tr w:rsidR="003C0E93" w:rsidRPr="000A1D09" w14:paraId="73A90C49" w14:textId="77777777" w:rsidTr="003C0E93">
        <w:trPr>
          <w:trHeight w:val="526"/>
        </w:trPr>
        <w:tc>
          <w:tcPr>
            <w:tcW w:w="2134" w:type="dxa"/>
            <w:vAlign w:val="center"/>
          </w:tcPr>
          <w:p w14:paraId="38D33047" w14:textId="0C4D18BC" w:rsidR="0061236A" w:rsidRPr="000A1D09" w:rsidRDefault="0061236A" w:rsidP="0061236A">
            <w:pPr>
              <w:rPr>
                <w:rFonts w:ascii="Times New Roman" w:hAnsi="Times New Roman" w:cs="Times New Roman"/>
              </w:rPr>
            </w:pPr>
            <w:r w:rsidRPr="000A1D09">
              <w:rPr>
                <w:rFonts w:ascii="Times New Roman" w:hAnsi="Times New Roman" w:cs="Times New Roman"/>
              </w:rPr>
              <w:t>Antihistamines</w:t>
            </w:r>
          </w:p>
        </w:tc>
        <w:tc>
          <w:tcPr>
            <w:tcW w:w="2229" w:type="dxa"/>
            <w:vAlign w:val="center"/>
          </w:tcPr>
          <w:p w14:paraId="18EFEFBC" w14:textId="04BAA5B7" w:rsidR="0061236A" w:rsidRPr="000A1D09" w:rsidRDefault="0061236A" w:rsidP="0061236A">
            <w:pPr>
              <w:rPr>
                <w:rFonts w:ascii="Times New Roman" w:hAnsi="Times New Roman" w:cs="Times New Roman"/>
              </w:rPr>
            </w:pPr>
            <w:r w:rsidRPr="000A1D09">
              <w:rPr>
                <w:rFonts w:ascii="Times New Roman" w:hAnsi="Times New Roman" w:cs="Times New Roman"/>
              </w:rPr>
              <w:t>Cetirizine, Loratadine</w:t>
            </w:r>
          </w:p>
        </w:tc>
        <w:tc>
          <w:tcPr>
            <w:tcW w:w="1514" w:type="dxa"/>
            <w:vAlign w:val="center"/>
          </w:tcPr>
          <w:p w14:paraId="47CCADE7" w14:textId="0774008D" w:rsidR="0061236A" w:rsidRPr="000A1D09" w:rsidRDefault="0061236A" w:rsidP="0061236A">
            <w:pPr>
              <w:rPr>
                <w:rFonts w:ascii="Times New Roman" w:hAnsi="Times New Roman" w:cs="Times New Roman"/>
              </w:rPr>
            </w:pPr>
            <w:r w:rsidRPr="000A1D09">
              <w:rPr>
                <w:rFonts w:ascii="Times New Roman" w:hAnsi="Times New Roman" w:cs="Times New Roman"/>
              </w:rPr>
              <w:t>Allergy relief</w:t>
            </w:r>
          </w:p>
        </w:tc>
        <w:tc>
          <w:tcPr>
            <w:tcW w:w="2384" w:type="dxa"/>
            <w:vAlign w:val="center"/>
          </w:tcPr>
          <w:p w14:paraId="12385003" w14:textId="0845D500" w:rsidR="0061236A" w:rsidRPr="000A1D09" w:rsidRDefault="0061236A" w:rsidP="0061236A">
            <w:pPr>
              <w:rPr>
                <w:rFonts w:ascii="Times New Roman" w:hAnsi="Times New Roman" w:cs="Times New Roman"/>
              </w:rPr>
            </w:pPr>
            <w:r w:rsidRPr="000A1D09">
              <w:rPr>
                <w:rFonts w:ascii="Times New Roman" w:hAnsi="Times New Roman" w:cs="Times New Roman"/>
              </w:rPr>
              <w:t>Drowsiness, masking disease</w:t>
            </w:r>
          </w:p>
        </w:tc>
        <w:tc>
          <w:tcPr>
            <w:tcW w:w="2229" w:type="dxa"/>
            <w:vAlign w:val="center"/>
          </w:tcPr>
          <w:p w14:paraId="15623572" w14:textId="7DC30F5A" w:rsidR="0061236A" w:rsidRPr="000A1D09" w:rsidRDefault="003003BE" w:rsidP="0061236A">
            <w:pPr>
              <w:rPr>
                <w:rFonts w:ascii="Times New Roman" w:hAnsi="Times New Roman" w:cs="Times New Roman"/>
              </w:rPr>
            </w:pPr>
            <w:r w:rsidRPr="000A1D09">
              <w:rPr>
                <w:rFonts w:ascii="Times New Roman" w:hAnsi="Times New Roman" w:cs="Times New Roman"/>
              </w:rPr>
              <w:t>(Idris et al., 2016)</w:t>
            </w:r>
          </w:p>
        </w:tc>
      </w:tr>
      <w:tr w:rsidR="003C0E93" w:rsidRPr="000A1D09" w14:paraId="30B15E7A" w14:textId="77777777" w:rsidTr="003C0E93">
        <w:trPr>
          <w:trHeight w:val="526"/>
        </w:trPr>
        <w:tc>
          <w:tcPr>
            <w:tcW w:w="2134" w:type="dxa"/>
            <w:vAlign w:val="center"/>
          </w:tcPr>
          <w:p w14:paraId="56816B18" w14:textId="03558427" w:rsidR="0061236A" w:rsidRPr="000A1D09" w:rsidRDefault="0061236A" w:rsidP="0061236A">
            <w:pPr>
              <w:rPr>
                <w:rFonts w:ascii="Times New Roman" w:hAnsi="Times New Roman" w:cs="Times New Roman"/>
              </w:rPr>
            </w:pPr>
            <w:r w:rsidRPr="000A1D09">
              <w:rPr>
                <w:rFonts w:ascii="Times New Roman" w:hAnsi="Times New Roman" w:cs="Times New Roman"/>
              </w:rPr>
              <w:t xml:space="preserve">Weight-Loss Drugs </w:t>
            </w:r>
          </w:p>
        </w:tc>
        <w:tc>
          <w:tcPr>
            <w:tcW w:w="2229" w:type="dxa"/>
            <w:vAlign w:val="center"/>
          </w:tcPr>
          <w:p w14:paraId="3DF66A22" w14:textId="67218E13" w:rsidR="0061236A" w:rsidRPr="000A1D09" w:rsidRDefault="0061236A" w:rsidP="0061236A">
            <w:pPr>
              <w:rPr>
                <w:rFonts w:ascii="Times New Roman" w:hAnsi="Times New Roman" w:cs="Times New Roman"/>
              </w:rPr>
            </w:pPr>
            <w:r w:rsidRPr="000A1D09">
              <w:rPr>
                <w:rFonts w:ascii="Times New Roman" w:hAnsi="Times New Roman" w:cs="Times New Roman"/>
              </w:rPr>
              <w:t>Orlistat, Metformin</w:t>
            </w:r>
          </w:p>
        </w:tc>
        <w:tc>
          <w:tcPr>
            <w:tcW w:w="1514" w:type="dxa"/>
            <w:vAlign w:val="center"/>
          </w:tcPr>
          <w:p w14:paraId="31528234" w14:textId="0D545D93" w:rsidR="0061236A" w:rsidRPr="000A1D09" w:rsidRDefault="0061236A" w:rsidP="0061236A">
            <w:pPr>
              <w:rPr>
                <w:rFonts w:ascii="Times New Roman" w:hAnsi="Times New Roman" w:cs="Times New Roman"/>
              </w:rPr>
            </w:pPr>
            <w:r w:rsidRPr="000A1D09">
              <w:rPr>
                <w:rFonts w:ascii="Times New Roman" w:hAnsi="Times New Roman" w:cs="Times New Roman"/>
              </w:rPr>
              <w:t>Weight management</w:t>
            </w:r>
          </w:p>
        </w:tc>
        <w:tc>
          <w:tcPr>
            <w:tcW w:w="2384" w:type="dxa"/>
            <w:vAlign w:val="center"/>
          </w:tcPr>
          <w:p w14:paraId="4559D54A" w14:textId="78968EBD" w:rsidR="0061236A" w:rsidRPr="000A1D09" w:rsidRDefault="0061236A" w:rsidP="0061236A">
            <w:pPr>
              <w:rPr>
                <w:rFonts w:ascii="Times New Roman" w:hAnsi="Times New Roman" w:cs="Times New Roman"/>
              </w:rPr>
            </w:pPr>
            <w:r w:rsidRPr="000A1D09">
              <w:rPr>
                <w:rFonts w:ascii="Times New Roman" w:hAnsi="Times New Roman" w:cs="Times New Roman"/>
              </w:rPr>
              <w:t>GI effects, metabolic risk</w:t>
            </w:r>
          </w:p>
        </w:tc>
        <w:tc>
          <w:tcPr>
            <w:tcW w:w="2229" w:type="dxa"/>
            <w:vAlign w:val="center"/>
          </w:tcPr>
          <w:p w14:paraId="22584DE7" w14:textId="60BC7BA0" w:rsidR="0061236A" w:rsidRPr="000A1D09" w:rsidRDefault="0030513A" w:rsidP="0061236A">
            <w:pPr>
              <w:rPr>
                <w:rFonts w:ascii="Times New Roman" w:hAnsi="Times New Roman" w:cs="Times New Roman"/>
              </w:rPr>
            </w:pPr>
            <w:r w:rsidRPr="000A1D09">
              <w:rPr>
                <w:rFonts w:ascii="Times New Roman" w:hAnsi="Times New Roman" w:cs="Times New Roman"/>
              </w:rPr>
              <w:t>(Abdalfattah et al., 2025)</w:t>
            </w:r>
          </w:p>
        </w:tc>
      </w:tr>
      <w:tr w:rsidR="003C0E93" w:rsidRPr="000A1D09" w14:paraId="3FCBDF19" w14:textId="77777777" w:rsidTr="003C0E93">
        <w:trPr>
          <w:trHeight w:val="526"/>
        </w:trPr>
        <w:tc>
          <w:tcPr>
            <w:tcW w:w="2134" w:type="dxa"/>
            <w:vAlign w:val="center"/>
          </w:tcPr>
          <w:p w14:paraId="6BED07B3" w14:textId="25985871" w:rsidR="00191B9C" w:rsidRPr="000A1D09" w:rsidRDefault="00191B9C" w:rsidP="00191B9C">
            <w:pPr>
              <w:rPr>
                <w:rFonts w:ascii="Times New Roman" w:hAnsi="Times New Roman" w:cs="Times New Roman"/>
              </w:rPr>
            </w:pPr>
            <w:r w:rsidRPr="000A1D09">
              <w:rPr>
                <w:rFonts w:ascii="Times New Roman" w:hAnsi="Times New Roman" w:cs="Times New Roman"/>
              </w:rPr>
              <w:t>Antidiarrheal / Antimicrobials</w:t>
            </w:r>
          </w:p>
        </w:tc>
        <w:tc>
          <w:tcPr>
            <w:tcW w:w="2229" w:type="dxa"/>
            <w:vAlign w:val="center"/>
          </w:tcPr>
          <w:p w14:paraId="7F4D4068" w14:textId="60859C19" w:rsidR="00191B9C" w:rsidRPr="000A1D09" w:rsidRDefault="00191B9C" w:rsidP="00191B9C">
            <w:pPr>
              <w:rPr>
                <w:rFonts w:ascii="Times New Roman" w:hAnsi="Times New Roman" w:cs="Times New Roman"/>
              </w:rPr>
            </w:pPr>
            <w:r w:rsidRPr="000A1D09">
              <w:rPr>
                <w:rFonts w:ascii="Times New Roman" w:hAnsi="Times New Roman" w:cs="Times New Roman"/>
              </w:rPr>
              <w:t>Metronidazole</w:t>
            </w:r>
          </w:p>
        </w:tc>
        <w:tc>
          <w:tcPr>
            <w:tcW w:w="1514" w:type="dxa"/>
            <w:vAlign w:val="center"/>
          </w:tcPr>
          <w:p w14:paraId="51ACC2A7" w14:textId="00C25C01" w:rsidR="00191B9C" w:rsidRPr="000A1D09" w:rsidRDefault="00191B9C" w:rsidP="00191B9C">
            <w:pPr>
              <w:rPr>
                <w:rFonts w:ascii="Times New Roman" w:hAnsi="Times New Roman" w:cs="Times New Roman"/>
              </w:rPr>
            </w:pPr>
            <w:r w:rsidRPr="000A1D09">
              <w:rPr>
                <w:rFonts w:ascii="Times New Roman" w:hAnsi="Times New Roman" w:cs="Times New Roman"/>
              </w:rPr>
              <w:t>Diarrhea</w:t>
            </w:r>
          </w:p>
        </w:tc>
        <w:tc>
          <w:tcPr>
            <w:tcW w:w="2384" w:type="dxa"/>
            <w:vAlign w:val="center"/>
          </w:tcPr>
          <w:p w14:paraId="6BB457A8" w14:textId="3B503B93" w:rsidR="00191B9C" w:rsidRPr="000A1D09" w:rsidRDefault="00191B9C" w:rsidP="00191B9C">
            <w:pPr>
              <w:rPr>
                <w:rFonts w:ascii="Times New Roman" w:hAnsi="Times New Roman" w:cs="Times New Roman"/>
              </w:rPr>
            </w:pPr>
            <w:r w:rsidRPr="000A1D09">
              <w:rPr>
                <w:rFonts w:ascii="Times New Roman" w:hAnsi="Times New Roman" w:cs="Times New Roman"/>
              </w:rPr>
              <w:t>Masking infection, resistance</w:t>
            </w:r>
          </w:p>
        </w:tc>
        <w:tc>
          <w:tcPr>
            <w:tcW w:w="2229" w:type="dxa"/>
            <w:vAlign w:val="center"/>
          </w:tcPr>
          <w:p w14:paraId="0093C3D1" w14:textId="1FFC84A0" w:rsidR="00191B9C" w:rsidRPr="000A1D09" w:rsidRDefault="008D76FC" w:rsidP="00191B9C">
            <w:pPr>
              <w:rPr>
                <w:rFonts w:ascii="Times New Roman" w:hAnsi="Times New Roman" w:cs="Times New Roman"/>
              </w:rPr>
            </w:pPr>
            <w:r w:rsidRPr="000A1D09">
              <w:rPr>
                <w:rFonts w:ascii="Times New Roman" w:hAnsi="Times New Roman" w:cs="Times New Roman"/>
              </w:rPr>
              <w:t>(Saha et al., 2023)</w:t>
            </w:r>
          </w:p>
        </w:tc>
      </w:tr>
      <w:tr w:rsidR="003C0E93" w:rsidRPr="000A1D09" w14:paraId="6F058D72" w14:textId="77777777" w:rsidTr="003C0E93">
        <w:trPr>
          <w:trHeight w:val="516"/>
        </w:trPr>
        <w:tc>
          <w:tcPr>
            <w:tcW w:w="2134" w:type="dxa"/>
            <w:vAlign w:val="center"/>
          </w:tcPr>
          <w:p w14:paraId="12C3DB73" w14:textId="100A4C80" w:rsidR="00191B9C" w:rsidRPr="000A1D09" w:rsidRDefault="00191B9C" w:rsidP="00191B9C">
            <w:pPr>
              <w:rPr>
                <w:rFonts w:ascii="Times New Roman" w:hAnsi="Times New Roman" w:cs="Times New Roman"/>
              </w:rPr>
            </w:pPr>
            <w:r w:rsidRPr="000A1D09">
              <w:rPr>
                <w:rFonts w:ascii="Times New Roman" w:hAnsi="Times New Roman" w:cs="Times New Roman"/>
              </w:rPr>
              <w:t>Prescription Analgesics</w:t>
            </w:r>
          </w:p>
        </w:tc>
        <w:tc>
          <w:tcPr>
            <w:tcW w:w="2229" w:type="dxa"/>
            <w:vAlign w:val="center"/>
          </w:tcPr>
          <w:p w14:paraId="7EC68585" w14:textId="76257E1F" w:rsidR="00191B9C" w:rsidRPr="000A1D09" w:rsidRDefault="00191B9C" w:rsidP="00191B9C">
            <w:pPr>
              <w:rPr>
                <w:rFonts w:ascii="Times New Roman" w:hAnsi="Times New Roman" w:cs="Times New Roman"/>
              </w:rPr>
            </w:pPr>
            <w:r w:rsidRPr="000A1D09">
              <w:rPr>
                <w:rFonts w:ascii="Times New Roman" w:hAnsi="Times New Roman" w:cs="Times New Roman"/>
              </w:rPr>
              <w:t>Tramadol</w:t>
            </w:r>
          </w:p>
        </w:tc>
        <w:tc>
          <w:tcPr>
            <w:tcW w:w="1514" w:type="dxa"/>
            <w:vAlign w:val="center"/>
          </w:tcPr>
          <w:p w14:paraId="20FD28BE" w14:textId="3D2FFAD8" w:rsidR="00191B9C" w:rsidRPr="000A1D09" w:rsidRDefault="00191B9C" w:rsidP="00191B9C">
            <w:pPr>
              <w:rPr>
                <w:rFonts w:ascii="Times New Roman" w:hAnsi="Times New Roman" w:cs="Times New Roman"/>
              </w:rPr>
            </w:pPr>
            <w:r w:rsidRPr="000A1D09">
              <w:rPr>
                <w:rFonts w:ascii="Times New Roman" w:hAnsi="Times New Roman" w:cs="Times New Roman"/>
              </w:rPr>
              <w:t>Moderate</w:t>
            </w:r>
            <w:r w:rsidR="00E54383" w:rsidRPr="000A1D09">
              <w:rPr>
                <w:rFonts w:ascii="Times New Roman" w:hAnsi="Times New Roman" w:cs="Times New Roman"/>
              </w:rPr>
              <w:t xml:space="preserve"> to </w:t>
            </w:r>
            <w:r w:rsidRPr="000A1D09">
              <w:rPr>
                <w:rFonts w:ascii="Times New Roman" w:hAnsi="Times New Roman" w:cs="Times New Roman"/>
              </w:rPr>
              <w:t>severe pain</w:t>
            </w:r>
          </w:p>
        </w:tc>
        <w:tc>
          <w:tcPr>
            <w:tcW w:w="2384" w:type="dxa"/>
            <w:vAlign w:val="center"/>
          </w:tcPr>
          <w:p w14:paraId="2B10CA61" w14:textId="0358DBF3" w:rsidR="00191B9C" w:rsidRPr="000A1D09" w:rsidRDefault="00191B9C" w:rsidP="00191B9C">
            <w:pPr>
              <w:rPr>
                <w:rFonts w:ascii="Times New Roman" w:hAnsi="Times New Roman" w:cs="Times New Roman"/>
              </w:rPr>
            </w:pPr>
            <w:r w:rsidRPr="000A1D09">
              <w:rPr>
                <w:rFonts w:ascii="Times New Roman" w:hAnsi="Times New Roman" w:cs="Times New Roman"/>
              </w:rPr>
              <w:t>Dependence, organ toxicity</w:t>
            </w:r>
          </w:p>
        </w:tc>
        <w:tc>
          <w:tcPr>
            <w:tcW w:w="2229" w:type="dxa"/>
            <w:vAlign w:val="center"/>
          </w:tcPr>
          <w:p w14:paraId="3E30BE69" w14:textId="3C8615AA" w:rsidR="00191B9C" w:rsidRPr="000A1D09" w:rsidRDefault="00D55A0A" w:rsidP="00191B9C">
            <w:pPr>
              <w:rPr>
                <w:rFonts w:ascii="Times New Roman" w:hAnsi="Times New Roman" w:cs="Times New Roman"/>
              </w:rPr>
            </w:pPr>
            <w:r w:rsidRPr="000A1D09">
              <w:rPr>
                <w:rFonts w:ascii="Times New Roman" w:hAnsi="Times New Roman" w:cs="Times New Roman"/>
              </w:rPr>
              <w:t>(Osei-Tutu et al., 2024)</w:t>
            </w:r>
          </w:p>
        </w:tc>
      </w:tr>
      <w:tr w:rsidR="003C0E93" w:rsidRPr="000A1D09" w14:paraId="22C89645" w14:textId="77777777" w:rsidTr="003C0E93">
        <w:trPr>
          <w:trHeight w:val="526"/>
        </w:trPr>
        <w:tc>
          <w:tcPr>
            <w:tcW w:w="2134" w:type="dxa"/>
            <w:vAlign w:val="center"/>
          </w:tcPr>
          <w:p w14:paraId="4E584CC2" w14:textId="3F5F4E0A" w:rsidR="00191B9C" w:rsidRPr="000A1D09" w:rsidRDefault="00191B9C" w:rsidP="00191B9C">
            <w:pPr>
              <w:rPr>
                <w:rFonts w:ascii="Times New Roman" w:hAnsi="Times New Roman" w:cs="Times New Roman"/>
              </w:rPr>
            </w:pPr>
            <w:r w:rsidRPr="000A1D09">
              <w:rPr>
                <w:rFonts w:ascii="Times New Roman" w:hAnsi="Times New Roman" w:cs="Times New Roman"/>
              </w:rPr>
              <w:t>Emergency Contraceptives</w:t>
            </w:r>
          </w:p>
        </w:tc>
        <w:tc>
          <w:tcPr>
            <w:tcW w:w="2229" w:type="dxa"/>
            <w:vAlign w:val="center"/>
          </w:tcPr>
          <w:p w14:paraId="2C8598A7" w14:textId="4641B877" w:rsidR="00191B9C" w:rsidRPr="000A1D09" w:rsidRDefault="00191B9C" w:rsidP="00191B9C">
            <w:pPr>
              <w:rPr>
                <w:rFonts w:ascii="Times New Roman" w:hAnsi="Times New Roman" w:cs="Times New Roman"/>
              </w:rPr>
            </w:pPr>
            <w:r w:rsidRPr="000A1D09">
              <w:rPr>
                <w:rFonts w:ascii="Times New Roman" w:hAnsi="Times New Roman" w:cs="Times New Roman"/>
              </w:rPr>
              <w:t>Ulipristal acetate</w:t>
            </w:r>
          </w:p>
        </w:tc>
        <w:tc>
          <w:tcPr>
            <w:tcW w:w="1514" w:type="dxa"/>
            <w:vAlign w:val="center"/>
          </w:tcPr>
          <w:p w14:paraId="1C3E00E8" w14:textId="624E771C" w:rsidR="00191B9C" w:rsidRPr="000A1D09" w:rsidRDefault="00191B9C" w:rsidP="00191B9C">
            <w:pPr>
              <w:rPr>
                <w:rFonts w:ascii="Times New Roman" w:hAnsi="Times New Roman" w:cs="Times New Roman"/>
              </w:rPr>
            </w:pPr>
            <w:r w:rsidRPr="000A1D09">
              <w:rPr>
                <w:rFonts w:ascii="Times New Roman" w:hAnsi="Times New Roman" w:cs="Times New Roman"/>
              </w:rPr>
              <w:t>Unplanned pregnancy</w:t>
            </w:r>
          </w:p>
        </w:tc>
        <w:tc>
          <w:tcPr>
            <w:tcW w:w="2384" w:type="dxa"/>
            <w:vAlign w:val="center"/>
          </w:tcPr>
          <w:p w14:paraId="11B58DA4" w14:textId="773C4AC1" w:rsidR="00191B9C" w:rsidRPr="000A1D09" w:rsidRDefault="00191B9C" w:rsidP="00191B9C">
            <w:pPr>
              <w:rPr>
                <w:rFonts w:ascii="Times New Roman" w:hAnsi="Times New Roman" w:cs="Times New Roman"/>
              </w:rPr>
            </w:pPr>
            <w:r w:rsidRPr="000A1D09">
              <w:rPr>
                <w:rFonts w:ascii="Times New Roman" w:hAnsi="Times New Roman" w:cs="Times New Roman"/>
              </w:rPr>
              <w:t>Hormonal imbalance</w:t>
            </w:r>
          </w:p>
        </w:tc>
        <w:tc>
          <w:tcPr>
            <w:tcW w:w="2229" w:type="dxa"/>
            <w:vAlign w:val="center"/>
          </w:tcPr>
          <w:p w14:paraId="7D077962" w14:textId="14A6A35F" w:rsidR="00191B9C" w:rsidRPr="000A1D09" w:rsidRDefault="00625906" w:rsidP="00191B9C">
            <w:pPr>
              <w:rPr>
                <w:rFonts w:ascii="Times New Roman" w:hAnsi="Times New Roman" w:cs="Times New Roman"/>
              </w:rPr>
            </w:pPr>
            <w:r w:rsidRPr="000A1D09">
              <w:rPr>
                <w:rFonts w:ascii="Times New Roman" w:hAnsi="Times New Roman" w:cs="Times New Roman"/>
              </w:rPr>
              <w:t>(Barbian et al., 2021)</w:t>
            </w:r>
          </w:p>
        </w:tc>
      </w:tr>
      <w:tr w:rsidR="003C0E93" w:rsidRPr="000A1D09" w14:paraId="201374F2" w14:textId="77777777" w:rsidTr="003C0E93">
        <w:trPr>
          <w:trHeight w:val="526"/>
        </w:trPr>
        <w:tc>
          <w:tcPr>
            <w:tcW w:w="2134" w:type="dxa"/>
            <w:vAlign w:val="center"/>
          </w:tcPr>
          <w:p w14:paraId="45170ED4" w14:textId="1B3AB528" w:rsidR="00191B9C" w:rsidRPr="000A1D09" w:rsidRDefault="00191B9C" w:rsidP="00191B9C">
            <w:pPr>
              <w:rPr>
                <w:rFonts w:ascii="Times New Roman" w:hAnsi="Times New Roman" w:cs="Times New Roman"/>
              </w:rPr>
            </w:pPr>
            <w:r w:rsidRPr="000A1D09">
              <w:rPr>
                <w:rFonts w:ascii="Times New Roman" w:hAnsi="Times New Roman" w:cs="Times New Roman"/>
              </w:rPr>
              <w:t>Ophthalmic Drops</w:t>
            </w:r>
          </w:p>
        </w:tc>
        <w:tc>
          <w:tcPr>
            <w:tcW w:w="2229" w:type="dxa"/>
            <w:vAlign w:val="center"/>
          </w:tcPr>
          <w:p w14:paraId="20A0C69D" w14:textId="5B47F885" w:rsidR="00191B9C" w:rsidRPr="000A1D09" w:rsidRDefault="00191B9C" w:rsidP="00191B9C">
            <w:pPr>
              <w:rPr>
                <w:rFonts w:ascii="Times New Roman" w:hAnsi="Times New Roman" w:cs="Times New Roman"/>
              </w:rPr>
            </w:pPr>
            <w:r w:rsidRPr="000A1D09">
              <w:rPr>
                <w:rFonts w:ascii="Times New Roman" w:hAnsi="Times New Roman" w:cs="Times New Roman"/>
              </w:rPr>
              <w:t>Steroid</w:t>
            </w:r>
            <w:r w:rsidR="00585BC2" w:rsidRPr="000A1D09">
              <w:rPr>
                <w:rFonts w:ascii="Times New Roman" w:hAnsi="Times New Roman" w:cs="Times New Roman"/>
              </w:rPr>
              <w:t xml:space="preserve"> </w:t>
            </w:r>
            <w:r w:rsidRPr="000A1D09">
              <w:rPr>
                <w:rFonts w:ascii="Times New Roman" w:hAnsi="Times New Roman" w:cs="Times New Roman"/>
              </w:rPr>
              <w:t>antibiotic combinations</w:t>
            </w:r>
          </w:p>
        </w:tc>
        <w:tc>
          <w:tcPr>
            <w:tcW w:w="1514" w:type="dxa"/>
            <w:vAlign w:val="center"/>
          </w:tcPr>
          <w:p w14:paraId="52F04894" w14:textId="1235A0CD" w:rsidR="00191B9C" w:rsidRPr="000A1D09" w:rsidRDefault="00191B9C" w:rsidP="00191B9C">
            <w:pPr>
              <w:rPr>
                <w:rFonts w:ascii="Times New Roman" w:hAnsi="Times New Roman" w:cs="Times New Roman"/>
              </w:rPr>
            </w:pPr>
            <w:r w:rsidRPr="000A1D09">
              <w:rPr>
                <w:rFonts w:ascii="Times New Roman" w:hAnsi="Times New Roman" w:cs="Times New Roman"/>
              </w:rPr>
              <w:t>Eye infection</w:t>
            </w:r>
          </w:p>
        </w:tc>
        <w:tc>
          <w:tcPr>
            <w:tcW w:w="2384" w:type="dxa"/>
            <w:vAlign w:val="center"/>
          </w:tcPr>
          <w:p w14:paraId="671D43E8" w14:textId="2E668D99" w:rsidR="00191B9C" w:rsidRPr="000A1D09" w:rsidRDefault="00191B9C" w:rsidP="00191B9C">
            <w:pPr>
              <w:rPr>
                <w:rFonts w:ascii="Times New Roman" w:hAnsi="Times New Roman" w:cs="Times New Roman"/>
              </w:rPr>
            </w:pPr>
            <w:r w:rsidRPr="000A1D09">
              <w:rPr>
                <w:rFonts w:ascii="Times New Roman" w:hAnsi="Times New Roman" w:cs="Times New Roman"/>
              </w:rPr>
              <w:t>Glaucoma, resistance</w:t>
            </w:r>
          </w:p>
        </w:tc>
        <w:tc>
          <w:tcPr>
            <w:tcW w:w="2229" w:type="dxa"/>
            <w:vAlign w:val="center"/>
          </w:tcPr>
          <w:p w14:paraId="68C31BEE" w14:textId="373455F2" w:rsidR="00191B9C" w:rsidRPr="000A1D09" w:rsidRDefault="0033104B" w:rsidP="00191B9C">
            <w:pPr>
              <w:rPr>
                <w:rFonts w:ascii="Times New Roman" w:hAnsi="Times New Roman" w:cs="Times New Roman"/>
              </w:rPr>
            </w:pPr>
            <w:r w:rsidRPr="000A1D09">
              <w:rPr>
                <w:rFonts w:ascii="Times New Roman" w:hAnsi="Times New Roman" w:cs="Times New Roman"/>
              </w:rPr>
              <w:t>(Alamer et al., 2023)</w:t>
            </w:r>
          </w:p>
        </w:tc>
      </w:tr>
    </w:tbl>
    <w:p w14:paraId="426D9EBB" w14:textId="607D17A5" w:rsidR="00614B46" w:rsidRPr="000A1D09" w:rsidRDefault="000C1826" w:rsidP="00614B46">
      <w:pPr>
        <w:pStyle w:val="Heading3"/>
        <w:spacing w:before="120" w:after="120"/>
        <w:rPr>
          <w:color w:val="000000" w:themeColor="text1"/>
          <w:sz w:val="24"/>
          <w:szCs w:val="24"/>
        </w:rPr>
      </w:pPr>
      <w:r w:rsidRPr="000A1D09">
        <w:rPr>
          <w:rFonts w:eastAsiaTheme="minorHAnsi"/>
          <w:b w:val="0"/>
          <w:color w:val="000000" w:themeColor="text1"/>
          <w:sz w:val="22"/>
          <w:szCs w:val="22"/>
        </w:rPr>
        <w:t xml:space="preserve">While </w:t>
      </w:r>
      <w:r w:rsidR="00EA1948" w:rsidRPr="000A1D09">
        <w:rPr>
          <w:rFonts w:eastAsiaTheme="minorHAnsi"/>
          <w:b w:val="0"/>
          <w:color w:val="000000" w:themeColor="text1"/>
          <w:sz w:val="22"/>
          <w:szCs w:val="22"/>
        </w:rPr>
        <w:t>self-medication</w:t>
      </w:r>
      <w:r w:rsidRPr="000A1D09">
        <w:rPr>
          <w:rFonts w:eastAsiaTheme="minorHAnsi"/>
          <w:b w:val="0"/>
          <w:color w:val="000000" w:themeColor="text1"/>
          <w:sz w:val="22"/>
          <w:szCs w:val="22"/>
        </w:rPr>
        <w:t xml:space="preserve"> has been widely studied globally, limited research compares </w:t>
      </w:r>
      <w:r w:rsidR="00EA1948" w:rsidRPr="000A1D09">
        <w:rPr>
          <w:rFonts w:eastAsiaTheme="minorHAnsi"/>
          <w:b w:val="0"/>
          <w:color w:val="000000" w:themeColor="text1"/>
          <w:sz w:val="22"/>
          <w:szCs w:val="22"/>
        </w:rPr>
        <w:t>self-medication</w:t>
      </w:r>
      <w:r w:rsidRPr="000A1D09">
        <w:rPr>
          <w:rFonts w:eastAsiaTheme="minorHAnsi"/>
          <w:b w:val="0"/>
          <w:color w:val="000000" w:themeColor="text1"/>
          <w:sz w:val="22"/>
          <w:szCs w:val="22"/>
        </w:rPr>
        <w:t xml:space="preserve"> practices between urban and rural populations in Bangladesh. </w:t>
      </w:r>
      <w:r w:rsidR="00285DDD" w:rsidRPr="000A1D09">
        <w:rPr>
          <w:rFonts w:eastAsiaTheme="minorHAnsi"/>
          <w:b w:val="0"/>
          <w:color w:val="000000" w:themeColor="text1"/>
          <w:sz w:val="22"/>
          <w:szCs w:val="22"/>
        </w:rPr>
        <w:t xml:space="preserve">Despite extensive research on </w:t>
      </w:r>
      <w:r w:rsidR="00EA1948" w:rsidRPr="000A1D09">
        <w:rPr>
          <w:rFonts w:eastAsiaTheme="minorHAnsi"/>
          <w:b w:val="0"/>
          <w:color w:val="000000" w:themeColor="text1"/>
          <w:sz w:val="22"/>
          <w:szCs w:val="22"/>
        </w:rPr>
        <w:t>self-medication</w:t>
      </w:r>
      <w:r w:rsidR="00285DDD" w:rsidRPr="000A1D09">
        <w:rPr>
          <w:rFonts w:eastAsiaTheme="minorHAnsi"/>
          <w:b w:val="0"/>
          <w:color w:val="000000" w:themeColor="text1"/>
          <w:sz w:val="22"/>
          <w:szCs w:val="22"/>
        </w:rPr>
        <w:t xml:space="preserve">, nationally comparative evidence examining urban rural differences in Bangladesh remains scarce. </w:t>
      </w:r>
      <w:r w:rsidRPr="000A1D09">
        <w:rPr>
          <w:rFonts w:eastAsiaTheme="minorHAnsi"/>
          <w:b w:val="0"/>
          <w:color w:val="000000" w:themeColor="text1"/>
          <w:sz w:val="22"/>
          <w:szCs w:val="22"/>
        </w:rPr>
        <w:t xml:space="preserve">Existing studies primarily focus on specific cities or diseases, lacking a comprehensive evaluation of the socio-demographic factors and drug types involved in </w:t>
      </w:r>
      <w:r w:rsidR="00EA1948" w:rsidRPr="000A1D09">
        <w:rPr>
          <w:rFonts w:eastAsiaTheme="minorHAnsi"/>
          <w:b w:val="0"/>
          <w:color w:val="000000" w:themeColor="text1"/>
          <w:sz w:val="22"/>
          <w:szCs w:val="22"/>
        </w:rPr>
        <w:t>self-medication</w:t>
      </w:r>
      <w:r w:rsidRPr="000A1D09">
        <w:rPr>
          <w:rFonts w:eastAsiaTheme="minorHAnsi"/>
          <w:b w:val="0"/>
          <w:color w:val="000000" w:themeColor="text1"/>
          <w:sz w:val="22"/>
          <w:szCs w:val="22"/>
        </w:rPr>
        <w:t xml:space="preserve"> across different regions.</w:t>
      </w:r>
      <w:r w:rsidR="00E80DA5" w:rsidRPr="000A1D09">
        <w:rPr>
          <w:rFonts w:eastAsiaTheme="minorHAnsi"/>
          <w:b w:val="0"/>
          <w:color w:val="000000" w:themeColor="text1"/>
          <w:sz w:val="22"/>
          <w:szCs w:val="22"/>
        </w:rPr>
        <w:t xml:space="preserve"> The aim of this study is to </w:t>
      </w:r>
      <w:r w:rsidR="00E80DA5" w:rsidRPr="000A1D09">
        <w:rPr>
          <w:rFonts w:eastAsiaTheme="minorHAnsi"/>
          <w:b w:val="0"/>
          <w:bCs/>
          <w:color w:val="000000" w:themeColor="text1"/>
          <w:sz w:val="22"/>
          <w:szCs w:val="22"/>
        </w:rPr>
        <w:t xml:space="preserve">compare </w:t>
      </w:r>
      <w:r w:rsidR="00EA1948" w:rsidRPr="000A1D09">
        <w:rPr>
          <w:rFonts w:eastAsiaTheme="minorHAnsi"/>
          <w:b w:val="0"/>
          <w:bCs/>
          <w:color w:val="000000" w:themeColor="text1"/>
          <w:sz w:val="22"/>
          <w:szCs w:val="22"/>
        </w:rPr>
        <w:t>self-medication</w:t>
      </w:r>
      <w:r w:rsidR="00E80DA5" w:rsidRPr="000A1D09">
        <w:rPr>
          <w:rFonts w:eastAsiaTheme="minorHAnsi"/>
          <w:b w:val="0"/>
          <w:bCs/>
          <w:color w:val="000000" w:themeColor="text1"/>
          <w:sz w:val="22"/>
          <w:szCs w:val="22"/>
        </w:rPr>
        <w:t xml:space="preserve"> practices</w:t>
      </w:r>
      <w:r w:rsidR="00E80DA5" w:rsidRPr="000A1D09">
        <w:rPr>
          <w:rFonts w:eastAsiaTheme="minorHAnsi"/>
          <w:b w:val="0"/>
          <w:color w:val="000000" w:themeColor="text1"/>
          <w:sz w:val="22"/>
          <w:szCs w:val="22"/>
        </w:rPr>
        <w:t xml:space="preserve"> between urban and rural populations in Bangladesh, focusing on </w:t>
      </w:r>
      <w:r w:rsidR="00E80DA5" w:rsidRPr="000A1D09">
        <w:rPr>
          <w:rFonts w:eastAsiaTheme="minorHAnsi"/>
          <w:b w:val="0"/>
          <w:bCs/>
          <w:color w:val="000000" w:themeColor="text1"/>
          <w:sz w:val="22"/>
          <w:szCs w:val="22"/>
        </w:rPr>
        <w:t>prevalence</w:t>
      </w:r>
      <w:r w:rsidR="00E80DA5" w:rsidRPr="000A1D09">
        <w:rPr>
          <w:rFonts w:eastAsiaTheme="minorHAnsi"/>
          <w:b w:val="0"/>
          <w:color w:val="000000" w:themeColor="text1"/>
          <w:sz w:val="22"/>
          <w:szCs w:val="22"/>
        </w:rPr>
        <w:t xml:space="preserve">, </w:t>
      </w:r>
      <w:r w:rsidR="00E80DA5" w:rsidRPr="000A1D09">
        <w:rPr>
          <w:rFonts w:eastAsiaTheme="minorHAnsi"/>
          <w:b w:val="0"/>
          <w:bCs/>
          <w:color w:val="000000" w:themeColor="text1"/>
          <w:sz w:val="22"/>
          <w:szCs w:val="22"/>
        </w:rPr>
        <w:t>patterns</w:t>
      </w:r>
      <w:r w:rsidR="00E80DA5" w:rsidRPr="000A1D09">
        <w:rPr>
          <w:rFonts w:eastAsiaTheme="minorHAnsi"/>
          <w:b w:val="0"/>
          <w:color w:val="000000" w:themeColor="text1"/>
          <w:sz w:val="22"/>
          <w:szCs w:val="22"/>
        </w:rPr>
        <w:t xml:space="preserve">, and </w:t>
      </w:r>
      <w:r w:rsidR="00E80DA5" w:rsidRPr="000A1D09">
        <w:rPr>
          <w:rFonts w:eastAsiaTheme="minorHAnsi"/>
          <w:b w:val="0"/>
          <w:bCs/>
          <w:color w:val="000000" w:themeColor="text1"/>
          <w:sz w:val="22"/>
          <w:szCs w:val="22"/>
        </w:rPr>
        <w:t>socio-demographic influences</w:t>
      </w:r>
      <w:r w:rsidR="00E80DA5" w:rsidRPr="000A1D09">
        <w:rPr>
          <w:rFonts w:eastAsiaTheme="minorHAnsi"/>
          <w:b w:val="0"/>
          <w:color w:val="000000" w:themeColor="text1"/>
          <w:sz w:val="22"/>
          <w:szCs w:val="22"/>
        </w:rPr>
        <w:t xml:space="preserve">. The objectives of this study were to assess the prevalence of </w:t>
      </w:r>
      <w:r w:rsidR="00EA1948" w:rsidRPr="000A1D09">
        <w:rPr>
          <w:rFonts w:eastAsiaTheme="minorHAnsi"/>
          <w:b w:val="0"/>
          <w:color w:val="000000" w:themeColor="text1"/>
          <w:sz w:val="22"/>
          <w:szCs w:val="22"/>
        </w:rPr>
        <w:t>self-medication</w:t>
      </w:r>
      <w:r w:rsidR="00E80DA5" w:rsidRPr="000A1D09">
        <w:rPr>
          <w:rFonts w:eastAsiaTheme="minorHAnsi"/>
          <w:b w:val="0"/>
          <w:color w:val="000000" w:themeColor="text1"/>
          <w:sz w:val="22"/>
          <w:szCs w:val="22"/>
        </w:rPr>
        <w:t xml:space="preserve"> among the general population in Bangladesh, to compare </w:t>
      </w:r>
      <w:r w:rsidR="00EA1948" w:rsidRPr="000A1D09">
        <w:rPr>
          <w:rFonts w:eastAsiaTheme="minorHAnsi"/>
          <w:b w:val="0"/>
          <w:color w:val="000000" w:themeColor="text1"/>
          <w:sz w:val="22"/>
          <w:szCs w:val="22"/>
        </w:rPr>
        <w:t>self-medication</w:t>
      </w:r>
      <w:r w:rsidR="00E80DA5" w:rsidRPr="000A1D09">
        <w:rPr>
          <w:rFonts w:eastAsiaTheme="minorHAnsi"/>
          <w:b w:val="0"/>
          <w:color w:val="000000" w:themeColor="text1"/>
          <w:sz w:val="22"/>
          <w:szCs w:val="22"/>
        </w:rPr>
        <w:t xml:space="preserve"> practices between urban and rural areas, to identify the common medicines and health conditions associated with </w:t>
      </w:r>
      <w:r w:rsidR="00EA1948" w:rsidRPr="000A1D09">
        <w:rPr>
          <w:rFonts w:eastAsiaTheme="minorHAnsi"/>
          <w:b w:val="0"/>
          <w:color w:val="000000" w:themeColor="text1"/>
          <w:sz w:val="22"/>
          <w:szCs w:val="22"/>
        </w:rPr>
        <w:t>self-medication</w:t>
      </w:r>
      <w:r w:rsidR="00E80DA5" w:rsidRPr="000A1D09">
        <w:rPr>
          <w:rFonts w:eastAsiaTheme="minorHAnsi"/>
          <w:b w:val="0"/>
          <w:color w:val="000000" w:themeColor="text1"/>
          <w:sz w:val="22"/>
          <w:szCs w:val="22"/>
        </w:rPr>
        <w:t xml:space="preserve">, to examine the sources of information influencing </w:t>
      </w:r>
      <w:r w:rsidR="00EA1948" w:rsidRPr="000A1D09">
        <w:rPr>
          <w:rFonts w:eastAsiaTheme="minorHAnsi"/>
          <w:b w:val="0"/>
          <w:color w:val="000000" w:themeColor="text1"/>
          <w:sz w:val="22"/>
          <w:szCs w:val="22"/>
        </w:rPr>
        <w:t>self-medication</w:t>
      </w:r>
      <w:r w:rsidR="00E80DA5" w:rsidRPr="000A1D09">
        <w:rPr>
          <w:rFonts w:eastAsiaTheme="minorHAnsi"/>
          <w:b w:val="0"/>
          <w:color w:val="000000" w:themeColor="text1"/>
          <w:sz w:val="22"/>
          <w:szCs w:val="22"/>
        </w:rPr>
        <w:t xml:space="preserve"> behavior, and to evaluate the role of socio-demographic factors in shaping </w:t>
      </w:r>
      <w:r w:rsidR="00EA1948" w:rsidRPr="000A1D09">
        <w:rPr>
          <w:rFonts w:eastAsiaTheme="minorHAnsi"/>
          <w:b w:val="0"/>
          <w:color w:val="000000" w:themeColor="text1"/>
          <w:sz w:val="22"/>
          <w:szCs w:val="22"/>
        </w:rPr>
        <w:t>self-medication</w:t>
      </w:r>
      <w:r w:rsidR="00E80DA5" w:rsidRPr="000A1D09">
        <w:rPr>
          <w:rFonts w:eastAsiaTheme="minorHAnsi"/>
          <w:b w:val="0"/>
          <w:color w:val="000000" w:themeColor="text1"/>
          <w:sz w:val="22"/>
          <w:szCs w:val="22"/>
        </w:rPr>
        <w:t xml:space="preserve"> practices.</w:t>
      </w:r>
    </w:p>
    <w:p w14:paraId="5171AC33" w14:textId="161F853B" w:rsidR="00116A69" w:rsidRPr="000A1D09" w:rsidRDefault="00050547" w:rsidP="00614B46">
      <w:pPr>
        <w:pStyle w:val="Heading3"/>
        <w:spacing w:before="120" w:after="120"/>
        <w:rPr>
          <w:sz w:val="24"/>
          <w:szCs w:val="24"/>
        </w:rPr>
      </w:pPr>
      <w:r w:rsidRPr="000A1D09">
        <w:rPr>
          <w:sz w:val="32"/>
          <w:szCs w:val="32"/>
        </w:rPr>
        <w:t>Materials and Methods</w:t>
      </w:r>
      <w:r w:rsidR="005222B8" w:rsidRPr="000A1D09">
        <w:rPr>
          <w:sz w:val="32"/>
          <w:szCs w:val="32"/>
        </w:rPr>
        <w:t xml:space="preserve"> </w:t>
      </w:r>
    </w:p>
    <w:p w14:paraId="4C24BED1" w14:textId="77777777" w:rsidR="001217AC" w:rsidRPr="000A1D09" w:rsidRDefault="001217AC" w:rsidP="001217AC">
      <w:pPr>
        <w:spacing w:after="0" w:line="240" w:lineRule="auto"/>
        <w:jc w:val="both"/>
        <w:rPr>
          <w:rFonts w:ascii="Times New Roman" w:eastAsiaTheme="majorEastAsia" w:hAnsi="Times New Roman" w:cs="Times New Roman"/>
          <w:b/>
          <w:bCs/>
        </w:rPr>
      </w:pPr>
      <w:r w:rsidRPr="000A1D09">
        <w:rPr>
          <w:rFonts w:ascii="Times New Roman" w:eastAsiaTheme="majorEastAsia" w:hAnsi="Times New Roman" w:cs="Times New Roman"/>
          <w:b/>
          <w:bCs/>
        </w:rPr>
        <w:t>3.1 Study Design, Setting, and Population</w:t>
      </w:r>
    </w:p>
    <w:p w14:paraId="38B94313" w14:textId="77777777" w:rsidR="001217AC" w:rsidRPr="000A1D09" w:rsidRDefault="001217AC" w:rsidP="001217AC">
      <w:pPr>
        <w:spacing w:after="0" w:line="240" w:lineRule="auto"/>
        <w:jc w:val="both"/>
        <w:rPr>
          <w:rFonts w:ascii="Times New Roman" w:eastAsiaTheme="majorEastAsia" w:hAnsi="Times New Roman" w:cs="Times New Roman"/>
        </w:rPr>
      </w:pPr>
    </w:p>
    <w:p w14:paraId="58E5EC28" w14:textId="5F8688E4" w:rsidR="006643BD" w:rsidRPr="006643BD" w:rsidRDefault="005B335C" w:rsidP="006643BD">
      <w:pPr>
        <w:spacing w:after="0"/>
        <w:jc w:val="both"/>
        <w:rPr>
          <w:rFonts w:ascii="Times New Roman" w:eastAsiaTheme="majorEastAsia" w:hAnsi="Times New Roman" w:cs="Times New Roman"/>
          <w:color w:val="3333FF"/>
          <w:lang w:val="en-MY"/>
        </w:rPr>
      </w:pPr>
      <w:r w:rsidRPr="000A1D09">
        <w:rPr>
          <w:rFonts w:ascii="Times New Roman" w:eastAsiaTheme="majorEastAsia" w:hAnsi="Times New Roman" w:cs="Times New Roman"/>
        </w:rPr>
        <w:t xml:space="preserve">This study was designed as a survey-based cross-sectional study to evaluate </w:t>
      </w:r>
      <w:r w:rsidR="00EA1948" w:rsidRPr="000A1D09">
        <w:rPr>
          <w:rFonts w:ascii="Times New Roman" w:eastAsiaTheme="majorEastAsia" w:hAnsi="Times New Roman" w:cs="Times New Roman"/>
        </w:rPr>
        <w:t>self-medication</w:t>
      </w:r>
      <w:r w:rsidRPr="000A1D09">
        <w:rPr>
          <w:rFonts w:ascii="Times New Roman" w:eastAsiaTheme="majorEastAsia" w:hAnsi="Times New Roman" w:cs="Times New Roman"/>
        </w:rPr>
        <w:t xml:space="preserve"> practices among the general population of Bangladesh. A total of 530 respondents, including both male and female participants from various age groups, were enrolled in the study. Data collection was conducted over a one-year period from November 2014 to October 2015. Participants were recruited from community settings without restriction to occupation, education level, or socioeconomic status. Participation was entirely voluntary, and all respondents were informed about the purpose and objectives of the survey prior to inclusion. The study was carried out across 15 districts representing diverse geographic and sociodemographic backgrounds, including Dhaka, Chattogram,</w:t>
      </w:r>
      <w:r w:rsidRPr="005B335C">
        <w:rPr>
          <w:rFonts w:ascii="Times New Roman" w:eastAsiaTheme="majorEastAsia" w:hAnsi="Times New Roman" w:cs="Times New Roman"/>
        </w:rPr>
        <w:t xml:space="preserve"> </w:t>
      </w:r>
      <w:r w:rsidRPr="005B335C">
        <w:rPr>
          <w:rFonts w:ascii="Times New Roman" w:eastAsiaTheme="majorEastAsia" w:hAnsi="Times New Roman" w:cs="Times New Roman"/>
        </w:rPr>
        <w:lastRenderedPageBreak/>
        <w:t xml:space="preserve">Madaripur, </w:t>
      </w:r>
      <w:proofErr w:type="spellStart"/>
      <w:r w:rsidRPr="005B335C">
        <w:rPr>
          <w:rFonts w:ascii="Times New Roman" w:eastAsiaTheme="majorEastAsia" w:hAnsi="Times New Roman" w:cs="Times New Roman"/>
        </w:rPr>
        <w:t>Munshiganj</w:t>
      </w:r>
      <w:proofErr w:type="spellEnd"/>
      <w:r w:rsidRPr="005B335C">
        <w:rPr>
          <w:rFonts w:ascii="Times New Roman" w:eastAsiaTheme="majorEastAsia" w:hAnsi="Times New Roman" w:cs="Times New Roman"/>
        </w:rPr>
        <w:t xml:space="preserve">, Narayanganj, Faridpur, </w:t>
      </w:r>
      <w:proofErr w:type="spellStart"/>
      <w:r w:rsidRPr="005B335C">
        <w:rPr>
          <w:rFonts w:ascii="Times New Roman" w:eastAsiaTheme="majorEastAsia" w:hAnsi="Times New Roman" w:cs="Times New Roman"/>
        </w:rPr>
        <w:t>Shariatpur</w:t>
      </w:r>
      <w:proofErr w:type="spellEnd"/>
      <w:r w:rsidRPr="005B335C">
        <w:rPr>
          <w:rFonts w:ascii="Times New Roman" w:eastAsiaTheme="majorEastAsia" w:hAnsi="Times New Roman" w:cs="Times New Roman"/>
        </w:rPr>
        <w:t xml:space="preserve">, Patuakhali, Comilla, Noakhali, Barisal, Khulna, </w:t>
      </w:r>
      <w:proofErr w:type="spellStart"/>
      <w:r w:rsidRPr="005B335C">
        <w:rPr>
          <w:rFonts w:ascii="Times New Roman" w:eastAsiaTheme="majorEastAsia" w:hAnsi="Times New Roman" w:cs="Times New Roman"/>
        </w:rPr>
        <w:t>Rajshahi</w:t>
      </w:r>
      <w:proofErr w:type="spellEnd"/>
      <w:r w:rsidRPr="005B335C">
        <w:rPr>
          <w:rFonts w:ascii="Times New Roman" w:eastAsiaTheme="majorEastAsia" w:hAnsi="Times New Roman" w:cs="Times New Roman"/>
        </w:rPr>
        <w:t xml:space="preserve">, Rangpur, and Sylhet. </w:t>
      </w:r>
      <w:r w:rsidR="00453D4E" w:rsidRPr="004F3F60">
        <w:rPr>
          <w:rFonts w:ascii="Times New Roman" w:eastAsiaTheme="majorEastAsia" w:hAnsi="Times New Roman" w:cs="Times New Roman"/>
          <w:color w:val="3333FF"/>
        </w:rPr>
        <w:t>Selection of these locations considered population diversity, accessibility, and time feasibility. Participants were recruited using a non-probability convenience sampling approach, which was adopted due to logistical constraints</w:t>
      </w:r>
      <w:r w:rsidR="006643BD" w:rsidRPr="004F3F60">
        <w:rPr>
          <w:rFonts w:ascii="Times New Roman" w:eastAsiaTheme="majorEastAsia" w:hAnsi="Times New Roman" w:cs="Times New Roman"/>
          <w:color w:val="3333FF"/>
          <w:lang w:val="en-MY"/>
        </w:rPr>
        <w:t>.</w:t>
      </w:r>
      <w:r w:rsidR="006643BD" w:rsidRPr="006643BD">
        <w:rPr>
          <w:rFonts w:ascii="Times New Roman" w:eastAsiaTheme="majorEastAsia" w:hAnsi="Times New Roman" w:cs="Times New Roman"/>
          <w:color w:val="3333FF"/>
          <w:lang w:val="en-MY"/>
        </w:rPr>
        <w:t xml:space="preserve"> Recruitment was conducted in community settings, including residential </w:t>
      </w:r>
      <w:r w:rsidR="00B139BB" w:rsidRPr="006643BD">
        <w:rPr>
          <w:rFonts w:ascii="Times New Roman" w:eastAsiaTheme="majorEastAsia" w:hAnsi="Times New Roman" w:cs="Times New Roman"/>
          <w:color w:val="3333FF"/>
          <w:lang w:val="en-MY"/>
        </w:rPr>
        <w:t>neighbourhoods</w:t>
      </w:r>
      <w:r w:rsidR="006643BD" w:rsidRPr="006643BD">
        <w:rPr>
          <w:rFonts w:ascii="Times New Roman" w:eastAsiaTheme="majorEastAsia" w:hAnsi="Times New Roman" w:cs="Times New Roman"/>
          <w:color w:val="3333FF"/>
          <w:lang w:val="en-MY"/>
        </w:rPr>
        <w:t>, local marketplaces, and areas surrounding retail pharmacies within the selected districts.</w:t>
      </w:r>
      <w:r w:rsidR="006643BD">
        <w:rPr>
          <w:rFonts w:ascii="Times New Roman" w:eastAsiaTheme="majorEastAsia" w:hAnsi="Times New Roman" w:cs="Times New Roman"/>
          <w:color w:val="3333FF"/>
          <w:lang w:val="en-MY"/>
        </w:rPr>
        <w:t xml:space="preserve"> </w:t>
      </w:r>
      <w:r w:rsidR="006643BD" w:rsidRPr="006643BD">
        <w:rPr>
          <w:rFonts w:ascii="Times New Roman" w:eastAsiaTheme="majorEastAsia" w:hAnsi="Times New Roman" w:cs="Times New Roman"/>
          <w:color w:val="3333FF"/>
        </w:rPr>
        <w:t>The sampling frame consisted of adult community residents present in the selected locations during the data collection period. Inclusion criteria were individuals aged 15 years and above who resided in the selected urban or rural areas and were willing to participate. Exclusion criteria included individuals unwilling to provide consent or unable to complete the interview due to illness or communication difficulties.</w:t>
      </w:r>
      <w:r w:rsidR="006643BD">
        <w:rPr>
          <w:rFonts w:ascii="Times New Roman" w:eastAsiaTheme="majorEastAsia" w:hAnsi="Times New Roman" w:cs="Times New Roman"/>
          <w:color w:val="3333FF"/>
          <w:lang w:val="en-MY"/>
        </w:rPr>
        <w:t xml:space="preserve"> </w:t>
      </w:r>
      <w:r w:rsidR="006643BD" w:rsidRPr="006643BD">
        <w:rPr>
          <w:rFonts w:ascii="Times New Roman" w:eastAsiaTheme="majorEastAsia" w:hAnsi="Times New Roman" w:cs="Times New Roman"/>
          <w:color w:val="3333FF"/>
        </w:rPr>
        <w:t xml:space="preserve">Participants were approached directly by trained data collectors using a face-to-face interview method. The study purpose was explained prior to participation, and verbal informed consent was obtained. </w:t>
      </w:r>
      <w:r w:rsidR="00AE5DB2" w:rsidRPr="00AE5DB2">
        <w:rPr>
          <w:rFonts w:ascii="Times New Roman" w:eastAsiaTheme="majorEastAsia" w:hAnsi="Times New Roman" w:cs="Times New Roman"/>
          <w:color w:val="3333FF"/>
        </w:rPr>
        <w:t>Refusal to participate was low, and no personal identifiers were recorded</w:t>
      </w:r>
      <w:r w:rsidR="006643BD" w:rsidRPr="006643BD">
        <w:rPr>
          <w:rFonts w:ascii="Times New Roman" w:eastAsiaTheme="majorEastAsia" w:hAnsi="Times New Roman" w:cs="Times New Roman"/>
          <w:color w:val="3333FF"/>
        </w:rPr>
        <w:t>.</w:t>
      </w:r>
      <w:r w:rsidR="006643BD">
        <w:rPr>
          <w:rFonts w:ascii="Times New Roman" w:eastAsiaTheme="majorEastAsia" w:hAnsi="Times New Roman" w:cs="Times New Roman"/>
          <w:color w:val="3333FF"/>
          <w:lang w:val="en-MY"/>
        </w:rPr>
        <w:t xml:space="preserve"> </w:t>
      </w:r>
      <w:r w:rsidR="006643BD" w:rsidRPr="006643BD">
        <w:rPr>
          <w:rFonts w:ascii="Times New Roman" w:eastAsiaTheme="majorEastAsia" w:hAnsi="Times New Roman" w:cs="Times New Roman"/>
          <w:color w:val="3333FF"/>
        </w:rPr>
        <w:t>To reduce potential selection bias, data collection was conducted across multiple districts, on different days and times, and included both urban and rural settings to capture a diverse range of sociodemographic characteristics.</w:t>
      </w:r>
    </w:p>
    <w:p w14:paraId="390853DA" w14:textId="77777777" w:rsidR="002B4E0B" w:rsidRDefault="002B4E0B" w:rsidP="005B335C">
      <w:pPr>
        <w:spacing w:after="0" w:line="240" w:lineRule="auto"/>
        <w:jc w:val="both"/>
        <w:rPr>
          <w:rFonts w:ascii="Times New Roman" w:eastAsiaTheme="majorEastAsia" w:hAnsi="Times New Roman" w:cs="Times New Roman"/>
        </w:rPr>
      </w:pPr>
    </w:p>
    <w:p w14:paraId="4CD956D8" w14:textId="77777777" w:rsidR="001217AC" w:rsidRPr="005D53CC" w:rsidRDefault="001217AC" w:rsidP="001217AC">
      <w:pPr>
        <w:spacing w:after="0" w:line="240" w:lineRule="auto"/>
        <w:jc w:val="both"/>
        <w:rPr>
          <w:rFonts w:ascii="Times New Roman" w:eastAsiaTheme="majorEastAsia" w:hAnsi="Times New Roman" w:cs="Times New Roman"/>
          <w:b/>
          <w:bCs/>
        </w:rPr>
      </w:pPr>
      <w:r w:rsidRPr="005D53CC">
        <w:rPr>
          <w:rFonts w:ascii="Times New Roman" w:eastAsiaTheme="majorEastAsia" w:hAnsi="Times New Roman" w:cs="Times New Roman"/>
          <w:b/>
          <w:bCs/>
        </w:rPr>
        <w:t>3.2 Data Collection Instrument and Procedure</w:t>
      </w:r>
    </w:p>
    <w:p w14:paraId="48E58811" w14:textId="77777777" w:rsidR="001217AC" w:rsidRPr="005D53CC" w:rsidRDefault="001217AC" w:rsidP="001217AC">
      <w:pPr>
        <w:spacing w:after="0" w:line="240" w:lineRule="auto"/>
        <w:jc w:val="both"/>
        <w:rPr>
          <w:rFonts w:ascii="Times New Roman" w:eastAsiaTheme="majorEastAsia" w:hAnsi="Times New Roman" w:cs="Times New Roman"/>
        </w:rPr>
      </w:pPr>
    </w:p>
    <w:p w14:paraId="4BD98333" w14:textId="4D0D655C" w:rsidR="001217AC" w:rsidRPr="00432A07" w:rsidRDefault="002B4E0B" w:rsidP="00D60378">
      <w:pPr>
        <w:spacing w:after="0"/>
        <w:jc w:val="both"/>
        <w:rPr>
          <w:rFonts w:eastAsiaTheme="majorEastAsia"/>
          <w:color w:val="3333FF"/>
          <w:lang w:val="en-MY"/>
        </w:rPr>
      </w:pPr>
      <w:r w:rsidRPr="002B4E0B">
        <w:rPr>
          <w:rFonts w:ascii="Times New Roman" w:eastAsiaTheme="majorEastAsia" w:hAnsi="Times New Roman" w:cs="Times New Roman"/>
        </w:rPr>
        <w:t xml:space="preserve">Data </w:t>
      </w:r>
      <w:proofErr w:type="gramStart"/>
      <w:r w:rsidRPr="002B4E0B">
        <w:rPr>
          <w:rFonts w:ascii="Times New Roman" w:eastAsiaTheme="majorEastAsia" w:hAnsi="Times New Roman" w:cs="Times New Roman"/>
        </w:rPr>
        <w:t>were</w:t>
      </w:r>
      <w:proofErr w:type="gramEnd"/>
      <w:r w:rsidRPr="002B4E0B">
        <w:rPr>
          <w:rFonts w:ascii="Times New Roman" w:eastAsiaTheme="majorEastAsia" w:hAnsi="Times New Roman" w:cs="Times New Roman"/>
        </w:rPr>
        <w:t xml:space="preserve"> collected using a structured questionnaire designed to obtain information on sociodemographic characteristics, patterns of self-medication, indications for self-medication, sources of information, and types of medicines used. The questionnaire was reviewed for clarity and consistency prior to data collection</w:t>
      </w:r>
      <w:r w:rsidR="00E6424A" w:rsidRPr="00E6424A">
        <w:rPr>
          <w:rFonts w:ascii="Times New Roman" w:eastAsiaTheme="majorEastAsia" w:hAnsi="Times New Roman" w:cs="Times New Roman"/>
        </w:rPr>
        <w:t>.</w:t>
      </w:r>
      <w:r w:rsidR="00E6424A" w:rsidRPr="00432A07">
        <w:rPr>
          <w:rFonts w:ascii="Times New Roman" w:eastAsiaTheme="majorEastAsia" w:hAnsi="Times New Roman" w:cs="Times New Roman"/>
          <w:color w:val="3333FF"/>
        </w:rPr>
        <w:t xml:space="preserve"> </w:t>
      </w:r>
      <w:r w:rsidR="00D60378" w:rsidRPr="00D60378">
        <w:rPr>
          <w:rFonts w:ascii="Times New Roman" w:eastAsiaTheme="majorEastAsia" w:hAnsi="Times New Roman" w:cs="Times New Roman"/>
          <w:color w:val="3333FF"/>
          <w:lang w:val="en-MY"/>
        </w:rPr>
        <w:t>In this study, self-medication was defined as the use of any medicine, including prescription-only medicines, without consultation with a qualified medical practitioner. This included direct purchase of medicines from retail pharmacies without a prescription, reuse of previously prescribed medicines without current medical advice, and medicine use based on personal experience or advice from nonprofessional sources.</w:t>
      </w:r>
      <w:r w:rsidR="009354CF">
        <w:rPr>
          <w:rFonts w:ascii="Times New Roman" w:eastAsiaTheme="majorEastAsia" w:hAnsi="Times New Roman" w:cs="Times New Roman"/>
          <w:color w:val="3333FF"/>
          <w:lang w:val="en-MY"/>
        </w:rPr>
        <w:t xml:space="preserve"> </w:t>
      </w:r>
      <w:r w:rsidR="006C1903" w:rsidRPr="006C1903">
        <w:rPr>
          <w:rFonts w:ascii="Times New Roman" w:eastAsiaTheme="majorEastAsia" w:hAnsi="Times New Roman" w:cs="Times New Roman"/>
          <w:color w:val="3333FF"/>
        </w:rPr>
        <w:t>In this study, the term misuse was defined as the use of any prescription-only medicine without consultation with a registered physician. This includes antibiotics and other prescription-only drug categories. Antibiotics were analyzed as a key subgroup due to their public health importance. The assessment of misuse was limited to non-prescription access and unsupervised use and did not include evaluation of dosing accuracy, treatment duration, or clinical appropriateness of indication</w:t>
      </w:r>
      <w:r w:rsidR="009354CF" w:rsidRPr="009354CF">
        <w:rPr>
          <w:rFonts w:ascii="Times New Roman" w:eastAsiaTheme="majorEastAsia" w:hAnsi="Times New Roman" w:cs="Times New Roman"/>
          <w:color w:val="3333FF"/>
        </w:rPr>
        <w:t>.</w:t>
      </w:r>
      <w:r w:rsidR="00D60378">
        <w:rPr>
          <w:rFonts w:ascii="Times New Roman" w:eastAsiaTheme="majorEastAsia" w:hAnsi="Times New Roman" w:cs="Times New Roman"/>
          <w:color w:val="3333FF"/>
          <w:lang w:val="en-MY"/>
        </w:rPr>
        <w:t xml:space="preserve"> </w:t>
      </w:r>
      <w:r w:rsidR="00D60378" w:rsidRPr="00D60378">
        <w:rPr>
          <w:rFonts w:ascii="Times New Roman" w:eastAsiaTheme="majorEastAsia" w:hAnsi="Times New Roman" w:cs="Times New Roman"/>
          <w:color w:val="3333FF"/>
          <w:lang w:val="en-MY"/>
        </w:rPr>
        <w:t>Self-medication practice was assessed by asking participants the following question: “Have you used any medicine without consulting a registered physician in the past six months?” Respondents who answered affirmatively were further asked about the frequency of self-medication, which was categorized as weekly, monthly, or occasional use. The six-month recall period was selected to balance recall accuracy with the need to capture habitual self-medication behaviour.</w:t>
      </w:r>
      <w:r w:rsidR="00D60378">
        <w:rPr>
          <w:rFonts w:ascii="Times New Roman" w:eastAsiaTheme="majorEastAsia" w:hAnsi="Times New Roman" w:cs="Times New Roman"/>
          <w:color w:val="3333FF"/>
          <w:lang w:val="en-MY"/>
        </w:rPr>
        <w:t xml:space="preserve"> </w:t>
      </w:r>
      <w:r w:rsidR="00805D1D" w:rsidRPr="00805D1D">
        <w:rPr>
          <w:rFonts w:ascii="Times New Roman" w:eastAsiaTheme="majorEastAsia" w:hAnsi="Times New Roman" w:cs="Times New Roman"/>
        </w:rPr>
        <w:t>Participants were approached voluntarily, and the purpose of the study was explained prior to administering the questionnaire. The study was conducted in accordance with ethical principles for research involving human participants. Verbal informed consent was obtained from all respondents before data collection. Participation was voluntary, and anonymity and confidentiality of participants’ information were strictly maintained throughout the study</w:t>
      </w:r>
      <w:r w:rsidR="00E6424A" w:rsidRPr="00E6424A">
        <w:rPr>
          <w:rFonts w:ascii="Times New Roman" w:eastAsiaTheme="majorEastAsia" w:hAnsi="Times New Roman" w:cs="Times New Roman"/>
        </w:rPr>
        <w:t>.</w:t>
      </w:r>
    </w:p>
    <w:p w14:paraId="728B10A5" w14:textId="77777777" w:rsidR="001217AC" w:rsidRPr="005D53CC" w:rsidRDefault="001217AC" w:rsidP="001217AC">
      <w:pPr>
        <w:spacing w:after="0" w:line="240" w:lineRule="auto"/>
        <w:jc w:val="both"/>
        <w:rPr>
          <w:rFonts w:ascii="Times New Roman" w:eastAsiaTheme="majorEastAsia" w:hAnsi="Times New Roman" w:cs="Times New Roman"/>
        </w:rPr>
      </w:pPr>
    </w:p>
    <w:p w14:paraId="5C0A70F7" w14:textId="77777777" w:rsidR="001217AC" w:rsidRPr="005D53CC" w:rsidRDefault="001217AC" w:rsidP="001217AC">
      <w:pPr>
        <w:spacing w:after="0" w:line="240" w:lineRule="auto"/>
        <w:jc w:val="both"/>
        <w:rPr>
          <w:rFonts w:ascii="Times New Roman" w:eastAsiaTheme="majorEastAsia" w:hAnsi="Times New Roman" w:cs="Times New Roman"/>
          <w:b/>
          <w:bCs/>
        </w:rPr>
      </w:pPr>
      <w:r w:rsidRPr="005D53CC">
        <w:rPr>
          <w:rFonts w:ascii="Times New Roman" w:eastAsiaTheme="majorEastAsia" w:hAnsi="Times New Roman" w:cs="Times New Roman"/>
          <w:b/>
          <w:bCs/>
        </w:rPr>
        <w:t>3.3 Data Analysis</w:t>
      </w:r>
    </w:p>
    <w:p w14:paraId="179CAAA5" w14:textId="77777777" w:rsidR="001217AC" w:rsidRPr="005D53CC" w:rsidRDefault="001217AC" w:rsidP="001217AC">
      <w:pPr>
        <w:spacing w:after="0" w:line="240" w:lineRule="auto"/>
        <w:jc w:val="both"/>
        <w:rPr>
          <w:rFonts w:ascii="Times New Roman" w:eastAsiaTheme="majorEastAsia" w:hAnsi="Times New Roman" w:cs="Times New Roman"/>
        </w:rPr>
      </w:pPr>
    </w:p>
    <w:p w14:paraId="5D0AA576" w14:textId="6C8EF0BC" w:rsidR="00721D32" w:rsidRDefault="00E6424A" w:rsidP="001217AC">
      <w:pPr>
        <w:spacing w:after="0" w:line="240" w:lineRule="auto"/>
        <w:jc w:val="both"/>
        <w:rPr>
          <w:rFonts w:ascii="Times New Roman" w:eastAsiaTheme="majorEastAsia" w:hAnsi="Times New Roman" w:cs="Times New Roman"/>
        </w:rPr>
      </w:pPr>
      <w:r w:rsidRPr="00E6424A">
        <w:rPr>
          <w:rFonts w:ascii="Times New Roman" w:eastAsiaTheme="majorEastAsia" w:hAnsi="Times New Roman" w:cs="Times New Roman"/>
        </w:rPr>
        <w:t xml:space="preserve">All collected data were checked for completeness and consistency before analysis. Data </w:t>
      </w:r>
      <w:proofErr w:type="gramStart"/>
      <w:r w:rsidRPr="00E6424A">
        <w:rPr>
          <w:rFonts w:ascii="Times New Roman" w:eastAsiaTheme="majorEastAsia" w:hAnsi="Times New Roman" w:cs="Times New Roman"/>
        </w:rPr>
        <w:t>were</w:t>
      </w:r>
      <w:proofErr w:type="gramEnd"/>
      <w:r w:rsidRPr="00E6424A">
        <w:rPr>
          <w:rFonts w:ascii="Times New Roman" w:eastAsiaTheme="majorEastAsia" w:hAnsi="Times New Roman" w:cs="Times New Roman"/>
        </w:rPr>
        <w:t xml:space="preserve"> entered and analyzed using Microsoft Excel (Microsoft Corp., USA). Descriptive statistics were used to summarize frequencies and percentages. Chi-square (χ²) tests were applied to examine associations between categorical variables, including sociodemographic factors and </w:t>
      </w:r>
      <w:r w:rsidR="00EA1948">
        <w:rPr>
          <w:rFonts w:ascii="Times New Roman" w:eastAsiaTheme="majorEastAsia" w:hAnsi="Times New Roman" w:cs="Times New Roman"/>
        </w:rPr>
        <w:t>self-medication</w:t>
      </w:r>
      <w:r w:rsidRPr="00E6424A">
        <w:rPr>
          <w:rFonts w:ascii="Times New Roman" w:eastAsiaTheme="majorEastAsia" w:hAnsi="Times New Roman" w:cs="Times New Roman"/>
        </w:rPr>
        <w:t xml:space="preserve"> practices. A p-value of less than 0.05 was considered statistically significant.</w:t>
      </w:r>
    </w:p>
    <w:p w14:paraId="16FD77FA" w14:textId="77777777" w:rsidR="00E329E4" w:rsidRDefault="00E329E4" w:rsidP="001217AC">
      <w:pPr>
        <w:spacing w:after="0" w:line="240" w:lineRule="auto"/>
        <w:jc w:val="both"/>
        <w:rPr>
          <w:rFonts w:ascii="Times New Roman" w:eastAsiaTheme="majorEastAsia" w:hAnsi="Times New Roman" w:cs="Times New Roman"/>
        </w:rPr>
      </w:pPr>
    </w:p>
    <w:p w14:paraId="7C6F749C" w14:textId="77777777" w:rsidR="001B53C6" w:rsidRDefault="00101F7A" w:rsidP="001217AC">
      <w:pPr>
        <w:spacing w:after="0" w:line="240" w:lineRule="auto"/>
        <w:jc w:val="both"/>
        <w:rPr>
          <w:rFonts w:ascii="Times New Roman" w:hAnsi="Times New Roman" w:cs="Times New Roman"/>
          <w:color w:val="3333FF"/>
        </w:rPr>
      </w:pPr>
      <w:r>
        <w:rPr>
          <w:rFonts w:ascii="Times New Roman" w:hAnsi="Times New Roman" w:cs="Times New Roman"/>
          <w:b/>
          <w:bCs/>
          <w:color w:val="3333FF"/>
        </w:rPr>
        <w:t xml:space="preserve">3.4 </w:t>
      </w:r>
      <w:r w:rsidR="00E329E4" w:rsidRPr="00101F7A">
        <w:rPr>
          <w:rFonts w:ascii="Times New Roman" w:hAnsi="Times New Roman" w:cs="Times New Roman"/>
          <w:b/>
          <w:bCs/>
          <w:color w:val="3333FF"/>
        </w:rPr>
        <w:t>Ethical considerations</w:t>
      </w:r>
      <w:r w:rsidR="00E329E4" w:rsidRPr="00101F7A">
        <w:rPr>
          <w:rFonts w:ascii="Times New Roman" w:hAnsi="Times New Roman" w:cs="Times New Roman"/>
          <w:color w:val="3333FF"/>
        </w:rPr>
        <w:t xml:space="preserve"> </w:t>
      </w:r>
    </w:p>
    <w:p w14:paraId="5A9275D2" w14:textId="77777777" w:rsidR="001B53C6" w:rsidRDefault="001B53C6" w:rsidP="001217AC">
      <w:pPr>
        <w:spacing w:after="0" w:line="240" w:lineRule="auto"/>
        <w:jc w:val="both"/>
        <w:rPr>
          <w:rFonts w:ascii="Times New Roman" w:hAnsi="Times New Roman" w:cs="Times New Roman"/>
          <w:color w:val="3333FF"/>
        </w:rPr>
      </w:pPr>
    </w:p>
    <w:p w14:paraId="02318B34" w14:textId="03A9F2E2" w:rsidR="00996132" w:rsidRPr="00EC53D2" w:rsidRDefault="00996132" w:rsidP="00996132">
      <w:pPr>
        <w:spacing w:after="0" w:line="240" w:lineRule="auto"/>
        <w:jc w:val="both"/>
        <w:rPr>
          <w:rFonts w:ascii="Times New Roman" w:hAnsi="Times New Roman" w:cs="Times New Roman"/>
          <w:color w:val="3333FF"/>
        </w:rPr>
      </w:pPr>
      <w:r w:rsidRPr="00996132">
        <w:rPr>
          <w:rFonts w:ascii="Times New Roman" w:hAnsi="Times New Roman" w:cs="Times New Roman"/>
          <w:color w:val="3333FF"/>
        </w:rPr>
        <w:t>This study was conducted as part of a master’s dissertation under the Department of Pharmacy, East West University, Bangladesh. At the time of data collection (2014</w:t>
      </w:r>
      <w:r>
        <w:rPr>
          <w:rFonts w:ascii="Times New Roman" w:hAnsi="Times New Roman" w:cs="Times New Roman"/>
          <w:color w:val="3333FF"/>
        </w:rPr>
        <w:t>-</w:t>
      </w:r>
      <w:r w:rsidRPr="00996132">
        <w:rPr>
          <w:rFonts w:ascii="Times New Roman" w:hAnsi="Times New Roman" w:cs="Times New Roman"/>
          <w:color w:val="3333FF"/>
        </w:rPr>
        <w:t xml:space="preserve">2015), </w:t>
      </w:r>
      <w:r w:rsidR="008842F7" w:rsidRPr="008842F7">
        <w:rPr>
          <w:rFonts w:ascii="Times New Roman" w:hAnsi="Times New Roman" w:cs="Times New Roman"/>
          <w:color w:val="3333FF"/>
        </w:rPr>
        <w:t xml:space="preserve">formal institutional review board (IRB) approval numbers were not routinely issued for non-interventional, community-based survey studies conducted as </w:t>
      </w:r>
      <w:r w:rsidR="008842F7" w:rsidRPr="00EC53D2">
        <w:rPr>
          <w:rFonts w:ascii="Times New Roman" w:hAnsi="Times New Roman" w:cs="Times New Roman"/>
          <w:color w:val="3333FF"/>
        </w:rPr>
        <w:lastRenderedPageBreak/>
        <w:t>academic theses at the departmental level during the study period</w:t>
      </w:r>
      <w:r w:rsidRPr="00EC53D2">
        <w:rPr>
          <w:rFonts w:ascii="Times New Roman" w:hAnsi="Times New Roman" w:cs="Times New Roman"/>
          <w:color w:val="3333FF"/>
        </w:rPr>
        <w:t>. The study protocol, questionnaire, and informed consent procedures were reviewed at the departmental level under the supervision of the academic supervisor prior to data collection.</w:t>
      </w:r>
    </w:p>
    <w:p w14:paraId="41B5FE91" w14:textId="77777777" w:rsidR="00996132" w:rsidRPr="00EC53D2" w:rsidRDefault="00996132" w:rsidP="00996132">
      <w:pPr>
        <w:spacing w:after="0" w:line="240" w:lineRule="auto"/>
        <w:jc w:val="both"/>
        <w:rPr>
          <w:rFonts w:ascii="Times New Roman" w:hAnsi="Times New Roman" w:cs="Times New Roman"/>
          <w:color w:val="3333FF"/>
        </w:rPr>
      </w:pPr>
    </w:p>
    <w:p w14:paraId="149D1800" w14:textId="53CA7402" w:rsidR="00E329E4" w:rsidRPr="00EC53D2" w:rsidRDefault="00996132" w:rsidP="00996132">
      <w:pPr>
        <w:spacing w:after="0" w:line="240" w:lineRule="auto"/>
        <w:jc w:val="both"/>
        <w:rPr>
          <w:rFonts w:ascii="Times New Roman" w:hAnsi="Times New Roman" w:cs="Times New Roman"/>
          <w:color w:val="3333FF"/>
        </w:rPr>
      </w:pPr>
      <w:r w:rsidRPr="00EC53D2">
        <w:rPr>
          <w:rFonts w:ascii="Times New Roman" w:hAnsi="Times New Roman" w:cs="Times New Roman"/>
          <w:color w:val="3333FF"/>
        </w:rPr>
        <w:t xml:space="preserve">The study was conducted in accordance with internationally accepted ethical principles for research involving human participants, including the Declaration of Helsinki. Participation was entirely voluntary, </w:t>
      </w:r>
      <w:r w:rsidR="00B6502D" w:rsidRPr="00EC53D2">
        <w:rPr>
          <w:rFonts w:ascii="Times New Roman" w:hAnsi="Times New Roman" w:cs="Times New Roman"/>
          <w:color w:val="3333FF"/>
        </w:rPr>
        <w:t>verbally</w:t>
      </w:r>
      <w:r w:rsidRPr="00EC53D2">
        <w:rPr>
          <w:rFonts w:ascii="Times New Roman" w:hAnsi="Times New Roman" w:cs="Times New Roman"/>
          <w:color w:val="3333FF"/>
        </w:rPr>
        <w:t xml:space="preserve"> informed consent was obtained from all respondents before data collection, and no personal identifiers were recorded. Anonymity and confidentiality of participant information were strictly maintained throughout the </w:t>
      </w:r>
      <w:r w:rsidR="00B6502D" w:rsidRPr="00EC53D2">
        <w:rPr>
          <w:rFonts w:ascii="Times New Roman" w:hAnsi="Times New Roman" w:cs="Times New Roman"/>
          <w:color w:val="3333FF"/>
        </w:rPr>
        <w:t>study.</w:t>
      </w:r>
    </w:p>
    <w:p w14:paraId="5E7E34BD" w14:textId="77777777" w:rsidR="00F8634D" w:rsidRPr="00EC53D2" w:rsidRDefault="000D2CA0" w:rsidP="0057688C">
      <w:pPr>
        <w:pStyle w:val="Heading3"/>
        <w:spacing w:before="200" w:after="200" w:line="240" w:lineRule="auto"/>
        <w:rPr>
          <w:color w:val="000000" w:themeColor="text1"/>
          <w:sz w:val="32"/>
          <w:szCs w:val="32"/>
        </w:rPr>
      </w:pPr>
      <w:r w:rsidRPr="00EC53D2">
        <w:rPr>
          <w:color w:val="000000" w:themeColor="text1"/>
          <w:sz w:val="32"/>
          <w:szCs w:val="32"/>
        </w:rPr>
        <w:t>Results</w:t>
      </w:r>
    </w:p>
    <w:p w14:paraId="41524178" w14:textId="77777777" w:rsidR="00BB3C11" w:rsidRPr="00EC53D2" w:rsidRDefault="00BB3C11" w:rsidP="008A3377">
      <w:pPr>
        <w:keepNext/>
        <w:keepLines/>
        <w:spacing w:after="0" w:line="240" w:lineRule="auto"/>
        <w:ind w:left="10" w:hanging="10"/>
        <w:jc w:val="both"/>
        <w:outlineLvl w:val="2"/>
        <w:rPr>
          <w:rFonts w:ascii="Times New Roman" w:eastAsiaTheme="majorEastAsia" w:hAnsi="Times New Roman" w:cs="Times New Roman"/>
          <w:b/>
          <w:bCs/>
          <w:color w:val="000000" w:themeColor="text1"/>
        </w:rPr>
      </w:pPr>
      <w:bookmarkStart w:id="0" w:name="_fjdgqn4541gh" w:colFirst="0" w:colLast="0"/>
      <w:bookmarkEnd w:id="0"/>
      <w:r w:rsidRPr="00EC53D2">
        <w:rPr>
          <w:rFonts w:ascii="Times New Roman" w:eastAsiaTheme="majorEastAsia" w:hAnsi="Times New Roman" w:cs="Times New Roman"/>
          <w:b/>
          <w:bCs/>
          <w:color w:val="000000" w:themeColor="text1"/>
        </w:rPr>
        <w:t>Distribution of Sociodemographic Characteristics of the Respondents</w:t>
      </w:r>
    </w:p>
    <w:p w14:paraId="46602FE0" w14:textId="77777777" w:rsidR="00A37960" w:rsidRPr="00EC53D2" w:rsidRDefault="00A37960" w:rsidP="008A3377">
      <w:pPr>
        <w:keepNext/>
        <w:keepLines/>
        <w:spacing w:after="0" w:line="240" w:lineRule="auto"/>
        <w:ind w:left="10" w:hanging="10"/>
        <w:jc w:val="both"/>
        <w:outlineLvl w:val="2"/>
        <w:rPr>
          <w:rFonts w:ascii="Times New Roman" w:eastAsiaTheme="majorEastAsia" w:hAnsi="Times New Roman" w:cs="Times New Roman"/>
          <w:b/>
          <w:bCs/>
          <w:color w:val="000000" w:themeColor="text1"/>
        </w:rPr>
      </w:pPr>
    </w:p>
    <w:p w14:paraId="6687F8BC" w14:textId="64F6DB10" w:rsidR="00CF7554" w:rsidRPr="00EC53D2" w:rsidRDefault="00CF7554" w:rsidP="008A3377">
      <w:pPr>
        <w:keepNext/>
        <w:keepLines/>
        <w:spacing w:after="0" w:line="240" w:lineRule="auto"/>
        <w:ind w:left="10" w:hanging="10"/>
        <w:jc w:val="both"/>
        <w:outlineLvl w:val="2"/>
        <w:rPr>
          <w:rFonts w:ascii="Times New Roman" w:eastAsiaTheme="majorEastAsia" w:hAnsi="Times New Roman" w:cs="Times New Roman"/>
          <w:color w:val="000000" w:themeColor="text1"/>
        </w:rPr>
      </w:pPr>
      <w:r w:rsidRPr="00EC53D2">
        <w:rPr>
          <w:rFonts w:ascii="Times New Roman" w:eastAsiaTheme="majorEastAsia" w:hAnsi="Times New Roman" w:cs="Times New Roman"/>
          <w:color w:val="000000" w:themeColor="text1"/>
        </w:rPr>
        <w:t xml:space="preserve">The study population consisted of respondents of varying ages, gender, and residential backgrounds. Male participants predominated, and most respondents belonged to the economically active age group. A higher proportion of participants were married, and representation from both urban and rural areas was comparable. Overall, the sample reflected a diverse sociodemographic profile suitable for evaluating </w:t>
      </w:r>
      <w:r w:rsidR="00EA1948" w:rsidRPr="00EC53D2">
        <w:rPr>
          <w:rFonts w:ascii="Times New Roman" w:eastAsiaTheme="majorEastAsia" w:hAnsi="Times New Roman" w:cs="Times New Roman"/>
          <w:color w:val="000000" w:themeColor="text1"/>
        </w:rPr>
        <w:t>self-medication</w:t>
      </w:r>
      <w:r w:rsidRPr="00EC53D2">
        <w:rPr>
          <w:rFonts w:ascii="Times New Roman" w:eastAsiaTheme="majorEastAsia" w:hAnsi="Times New Roman" w:cs="Times New Roman"/>
          <w:color w:val="000000" w:themeColor="text1"/>
        </w:rPr>
        <w:t xml:space="preserve"> practices.</w:t>
      </w:r>
    </w:p>
    <w:p w14:paraId="313AE9CC" w14:textId="77777777" w:rsidR="00CF7554" w:rsidRPr="00EC53D2" w:rsidRDefault="00CF7554" w:rsidP="008A3377">
      <w:pPr>
        <w:keepNext/>
        <w:keepLines/>
        <w:spacing w:after="0" w:line="240" w:lineRule="auto"/>
        <w:ind w:left="10" w:hanging="10"/>
        <w:jc w:val="both"/>
        <w:outlineLvl w:val="2"/>
        <w:rPr>
          <w:rFonts w:ascii="Times New Roman" w:eastAsiaTheme="majorEastAsia" w:hAnsi="Times New Roman" w:cs="Times New Roman"/>
          <w:color w:val="000000" w:themeColor="text1"/>
        </w:rPr>
      </w:pPr>
    </w:p>
    <w:p w14:paraId="7A6000EC" w14:textId="7EACC747" w:rsidR="00E03FBD" w:rsidRPr="00EC53D2" w:rsidRDefault="002B3560" w:rsidP="00E03FBD">
      <w:pPr>
        <w:keepNext/>
        <w:keepLines/>
        <w:spacing w:after="0" w:line="240" w:lineRule="auto"/>
        <w:ind w:left="10" w:hanging="10"/>
        <w:jc w:val="both"/>
        <w:outlineLvl w:val="2"/>
        <w:rPr>
          <w:rFonts w:ascii="Times New Roman" w:eastAsiaTheme="majorEastAsia" w:hAnsi="Times New Roman" w:cs="Times New Roman"/>
          <w:bCs/>
          <w:color w:val="000000" w:themeColor="text1"/>
        </w:rPr>
      </w:pPr>
      <w:bookmarkStart w:id="1" w:name="_Hlk217031293"/>
      <w:r w:rsidRPr="00EC53D2">
        <w:rPr>
          <w:rFonts w:ascii="Times New Roman" w:eastAsiaTheme="majorEastAsia" w:hAnsi="Times New Roman" w:cs="Times New Roman"/>
          <w:bCs/>
          <w:color w:val="000000" w:themeColor="text1"/>
        </w:rPr>
        <w:t xml:space="preserve">Table </w:t>
      </w:r>
      <w:r w:rsidR="003F16FF" w:rsidRPr="00EC53D2">
        <w:rPr>
          <w:rFonts w:ascii="Times New Roman" w:eastAsiaTheme="majorEastAsia" w:hAnsi="Times New Roman" w:cs="Times New Roman"/>
          <w:bCs/>
          <w:color w:val="000000" w:themeColor="text1"/>
        </w:rPr>
        <w:t>2</w:t>
      </w:r>
      <w:r w:rsidRPr="00EC53D2">
        <w:rPr>
          <w:rFonts w:ascii="Times New Roman" w:eastAsiaTheme="majorEastAsia" w:hAnsi="Times New Roman" w:cs="Times New Roman"/>
          <w:bCs/>
          <w:color w:val="000000" w:themeColor="text1"/>
        </w:rPr>
        <w:t xml:space="preserve">. </w:t>
      </w:r>
      <w:r w:rsidR="00500B94" w:rsidRPr="00EC53D2">
        <w:rPr>
          <w:rFonts w:ascii="Times New Roman" w:eastAsiaTheme="majorEastAsia" w:hAnsi="Times New Roman" w:cs="Times New Roman"/>
          <w:bCs/>
          <w:color w:val="000000" w:themeColor="text1"/>
        </w:rPr>
        <w:t>Sociodemographic characteristics of respondents with chi-square analysis (n = 530)</w:t>
      </w:r>
    </w:p>
    <w:tbl>
      <w:tblPr>
        <w:tblStyle w:val="TableGrid"/>
        <w:tblW w:w="10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2507"/>
        <w:gridCol w:w="1962"/>
        <w:gridCol w:w="1681"/>
        <w:gridCol w:w="1494"/>
        <w:gridCol w:w="1307"/>
      </w:tblGrid>
      <w:tr w:rsidR="004B6FC6" w:rsidRPr="00EC53D2" w14:paraId="7DAC74AF" w14:textId="77777777" w:rsidTr="00067194">
        <w:trPr>
          <w:trHeight w:val="489"/>
        </w:trPr>
        <w:tc>
          <w:tcPr>
            <w:tcW w:w="1715" w:type="dxa"/>
            <w:vAlign w:val="center"/>
          </w:tcPr>
          <w:p w14:paraId="4466C019" w14:textId="4D2F1A8D" w:rsidR="00E03FBD" w:rsidRPr="00EC53D2" w:rsidRDefault="00E03FBD" w:rsidP="00E03FBD">
            <w:pPr>
              <w:jc w:val="both"/>
              <w:rPr>
                <w:rFonts w:ascii="Times New Roman" w:hAnsi="Times New Roman" w:cs="Times New Roman"/>
                <w:b/>
                <w:color w:val="FF0000"/>
              </w:rPr>
            </w:pPr>
            <w:r w:rsidRPr="00EC53D2">
              <w:rPr>
                <w:rFonts w:ascii="Times New Roman" w:hAnsi="Times New Roman" w:cs="Times New Roman"/>
                <w:b/>
                <w:bCs/>
              </w:rPr>
              <w:t>Variable</w:t>
            </w:r>
          </w:p>
        </w:tc>
        <w:tc>
          <w:tcPr>
            <w:tcW w:w="2507" w:type="dxa"/>
            <w:vAlign w:val="center"/>
          </w:tcPr>
          <w:p w14:paraId="34E45806" w14:textId="4B23EA76" w:rsidR="00E03FBD" w:rsidRPr="00EC53D2" w:rsidRDefault="00E03FBD" w:rsidP="00E03FBD">
            <w:pPr>
              <w:jc w:val="both"/>
              <w:rPr>
                <w:rFonts w:ascii="Times New Roman" w:hAnsi="Times New Roman" w:cs="Times New Roman"/>
                <w:b/>
                <w:color w:val="FF0000"/>
              </w:rPr>
            </w:pPr>
            <w:r w:rsidRPr="00EC53D2">
              <w:rPr>
                <w:rFonts w:ascii="Times New Roman" w:hAnsi="Times New Roman" w:cs="Times New Roman"/>
                <w:b/>
                <w:bCs/>
              </w:rPr>
              <w:t>Category</w:t>
            </w:r>
          </w:p>
        </w:tc>
        <w:tc>
          <w:tcPr>
            <w:tcW w:w="1962" w:type="dxa"/>
            <w:vAlign w:val="center"/>
          </w:tcPr>
          <w:p w14:paraId="3711A8F6" w14:textId="18B9F887" w:rsidR="00E03FBD" w:rsidRPr="00EC53D2" w:rsidRDefault="00E03FBD" w:rsidP="00E03FBD">
            <w:pPr>
              <w:jc w:val="both"/>
              <w:rPr>
                <w:rFonts w:ascii="Times New Roman" w:hAnsi="Times New Roman" w:cs="Times New Roman"/>
                <w:b/>
                <w:color w:val="FF0000"/>
              </w:rPr>
            </w:pPr>
            <w:r w:rsidRPr="00EC53D2">
              <w:rPr>
                <w:rFonts w:ascii="Times New Roman" w:hAnsi="Times New Roman" w:cs="Times New Roman"/>
                <w:b/>
                <w:bCs/>
              </w:rPr>
              <w:t>Frequency (n)</w:t>
            </w:r>
          </w:p>
        </w:tc>
        <w:tc>
          <w:tcPr>
            <w:tcW w:w="1681" w:type="dxa"/>
            <w:vAlign w:val="center"/>
          </w:tcPr>
          <w:p w14:paraId="3B8BA37C" w14:textId="1B3B8350" w:rsidR="00E03FBD" w:rsidRPr="00EC53D2" w:rsidRDefault="00E03FBD" w:rsidP="00E03FBD">
            <w:pPr>
              <w:jc w:val="both"/>
              <w:rPr>
                <w:rFonts w:ascii="Times New Roman" w:hAnsi="Times New Roman" w:cs="Times New Roman"/>
                <w:b/>
                <w:color w:val="FF0000"/>
              </w:rPr>
            </w:pPr>
            <w:r w:rsidRPr="00EC53D2">
              <w:rPr>
                <w:rFonts w:ascii="Times New Roman" w:hAnsi="Times New Roman" w:cs="Times New Roman"/>
                <w:b/>
                <w:bCs/>
              </w:rPr>
              <w:t>Percentage (%)</w:t>
            </w:r>
          </w:p>
        </w:tc>
        <w:tc>
          <w:tcPr>
            <w:tcW w:w="1494" w:type="dxa"/>
            <w:vAlign w:val="center"/>
          </w:tcPr>
          <w:p w14:paraId="770B95C6" w14:textId="2EC3A71D" w:rsidR="00E03FBD" w:rsidRPr="00EC53D2" w:rsidRDefault="00E03FBD" w:rsidP="00E03FBD">
            <w:pPr>
              <w:jc w:val="both"/>
              <w:rPr>
                <w:rFonts w:ascii="Times New Roman" w:hAnsi="Times New Roman" w:cs="Times New Roman"/>
                <w:b/>
                <w:color w:val="FF0000"/>
              </w:rPr>
            </w:pPr>
            <w:r w:rsidRPr="00EC53D2">
              <w:rPr>
                <w:rFonts w:ascii="Times New Roman" w:hAnsi="Times New Roman" w:cs="Times New Roman"/>
                <w:b/>
                <w:bCs/>
              </w:rPr>
              <w:t>χ² value</w:t>
            </w:r>
          </w:p>
        </w:tc>
        <w:tc>
          <w:tcPr>
            <w:tcW w:w="1307" w:type="dxa"/>
            <w:vAlign w:val="center"/>
          </w:tcPr>
          <w:p w14:paraId="4A1C58C4" w14:textId="3CE3E942" w:rsidR="00E03FBD" w:rsidRPr="00EC53D2" w:rsidRDefault="00E03FBD" w:rsidP="00E03FBD">
            <w:pPr>
              <w:jc w:val="both"/>
              <w:rPr>
                <w:rFonts w:ascii="Times New Roman" w:hAnsi="Times New Roman" w:cs="Times New Roman"/>
                <w:b/>
                <w:color w:val="FF0000"/>
              </w:rPr>
            </w:pPr>
            <w:r w:rsidRPr="00EC53D2">
              <w:rPr>
                <w:rFonts w:ascii="Times New Roman" w:hAnsi="Times New Roman" w:cs="Times New Roman"/>
                <w:b/>
                <w:bCs/>
              </w:rPr>
              <w:t>p-value</w:t>
            </w:r>
          </w:p>
        </w:tc>
      </w:tr>
      <w:tr w:rsidR="00180615" w:rsidRPr="00EC53D2" w14:paraId="0D91950B" w14:textId="77777777" w:rsidTr="00067194">
        <w:trPr>
          <w:trHeight w:val="262"/>
        </w:trPr>
        <w:tc>
          <w:tcPr>
            <w:tcW w:w="1715" w:type="dxa"/>
            <w:vMerge w:val="restart"/>
            <w:vAlign w:val="center"/>
          </w:tcPr>
          <w:p w14:paraId="5C05554F" w14:textId="5BFDB095" w:rsidR="00180615" w:rsidRPr="00EC53D2" w:rsidRDefault="00180615" w:rsidP="00180615">
            <w:pPr>
              <w:rPr>
                <w:rFonts w:ascii="Times New Roman" w:hAnsi="Times New Roman" w:cs="Times New Roman"/>
                <w:b/>
                <w:color w:val="FF0000"/>
              </w:rPr>
            </w:pPr>
            <w:r w:rsidRPr="00EC53D2">
              <w:rPr>
                <w:rFonts w:ascii="Times New Roman" w:hAnsi="Times New Roman" w:cs="Times New Roman"/>
              </w:rPr>
              <w:t>Gender</w:t>
            </w:r>
          </w:p>
        </w:tc>
        <w:tc>
          <w:tcPr>
            <w:tcW w:w="2507" w:type="dxa"/>
          </w:tcPr>
          <w:p w14:paraId="53A69BBA" w14:textId="2E6C37BF" w:rsidR="00180615" w:rsidRPr="00EC53D2" w:rsidRDefault="00180615" w:rsidP="00E03FBD">
            <w:pPr>
              <w:jc w:val="both"/>
              <w:rPr>
                <w:rFonts w:ascii="Times New Roman" w:hAnsi="Times New Roman" w:cs="Times New Roman"/>
                <w:b/>
                <w:color w:val="FF0000"/>
              </w:rPr>
            </w:pPr>
            <w:r w:rsidRPr="00EC53D2">
              <w:rPr>
                <w:rFonts w:ascii="Times New Roman" w:hAnsi="Times New Roman" w:cs="Times New Roman"/>
              </w:rPr>
              <w:t>Male</w:t>
            </w:r>
          </w:p>
        </w:tc>
        <w:tc>
          <w:tcPr>
            <w:tcW w:w="1962" w:type="dxa"/>
          </w:tcPr>
          <w:p w14:paraId="39B11B38" w14:textId="08A35848" w:rsidR="00180615" w:rsidRPr="00EC53D2" w:rsidRDefault="00180615" w:rsidP="00E03FBD">
            <w:pPr>
              <w:jc w:val="both"/>
              <w:rPr>
                <w:rFonts w:ascii="Times New Roman" w:hAnsi="Times New Roman" w:cs="Times New Roman"/>
                <w:b/>
                <w:color w:val="FF0000"/>
              </w:rPr>
            </w:pPr>
            <w:r w:rsidRPr="00EC53D2">
              <w:rPr>
                <w:rFonts w:ascii="Times New Roman" w:hAnsi="Times New Roman" w:cs="Times New Roman"/>
              </w:rPr>
              <w:t>435</w:t>
            </w:r>
          </w:p>
        </w:tc>
        <w:tc>
          <w:tcPr>
            <w:tcW w:w="1681" w:type="dxa"/>
          </w:tcPr>
          <w:p w14:paraId="5A6DF55B" w14:textId="7D7E76FA" w:rsidR="00180615" w:rsidRPr="00EC53D2" w:rsidRDefault="00180615" w:rsidP="00E03FBD">
            <w:pPr>
              <w:jc w:val="both"/>
              <w:rPr>
                <w:rFonts w:ascii="Times New Roman" w:hAnsi="Times New Roman" w:cs="Times New Roman"/>
                <w:b/>
                <w:color w:val="FF0000"/>
              </w:rPr>
            </w:pPr>
            <w:r w:rsidRPr="00EC53D2">
              <w:rPr>
                <w:rFonts w:ascii="Times New Roman" w:hAnsi="Times New Roman" w:cs="Times New Roman"/>
              </w:rPr>
              <w:t>82.0</w:t>
            </w:r>
          </w:p>
        </w:tc>
        <w:tc>
          <w:tcPr>
            <w:tcW w:w="1494" w:type="dxa"/>
          </w:tcPr>
          <w:p w14:paraId="476A7EDF" w14:textId="77A75731" w:rsidR="00180615" w:rsidRPr="00EC53D2" w:rsidRDefault="00180615" w:rsidP="00E03FBD">
            <w:pPr>
              <w:jc w:val="both"/>
              <w:rPr>
                <w:rFonts w:ascii="Times New Roman" w:hAnsi="Times New Roman" w:cs="Times New Roman"/>
                <w:b/>
                <w:color w:val="FF0000"/>
              </w:rPr>
            </w:pPr>
            <w:r w:rsidRPr="00EC53D2">
              <w:rPr>
                <w:rFonts w:ascii="Times New Roman" w:hAnsi="Times New Roman" w:cs="Times New Roman"/>
              </w:rPr>
              <w:t>218.11</w:t>
            </w:r>
          </w:p>
        </w:tc>
        <w:tc>
          <w:tcPr>
            <w:tcW w:w="1307" w:type="dxa"/>
          </w:tcPr>
          <w:p w14:paraId="04701506" w14:textId="69C8F519" w:rsidR="00180615" w:rsidRPr="00EC53D2" w:rsidRDefault="00180615" w:rsidP="00E03FBD">
            <w:pPr>
              <w:jc w:val="both"/>
              <w:rPr>
                <w:rFonts w:ascii="Times New Roman" w:hAnsi="Times New Roman" w:cs="Times New Roman"/>
                <w:b/>
                <w:color w:val="FF0000"/>
              </w:rPr>
            </w:pPr>
            <w:r w:rsidRPr="00EC53D2">
              <w:rPr>
                <w:rFonts w:ascii="Times New Roman" w:hAnsi="Times New Roman" w:cs="Times New Roman"/>
              </w:rPr>
              <w:t>&lt;0.001</w:t>
            </w:r>
          </w:p>
        </w:tc>
      </w:tr>
      <w:tr w:rsidR="00180615" w:rsidRPr="00EC53D2" w14:paraId="59B24E50" w14:textId="77777777" w:rsidTr="00067194">
        <w:trPr>
          <w:trHeight w:val="262"/>
        </w:trPr>
        <w:tc>
          <w:tcPr>
            <w:tcW w:w="1715" w:type="dxa"/>
            <w:vMerge/>
          </w:tcPr>
          <w:p w14:paraId="6B4FFDE1" w14:textId="77777777" w:rsidR="00180615" w:rsidRPr="00EC53D2" w:rsidRDefault="00180615" w:rsidP="00180615">
            <w:pPr>
              <w:jc w:val="both"/>
              <w:rPr>
                <w:rFonts w:ascii="Times New Roman" w:hAnsi="Times New Roman" w:cs="Times New Roman"/>
              </w:rPr>
            </w:pPr>
          </w:p>
        </w:tc>
        <w:tc>
          <w:tcPr>
            <w:tcW w:w="2507" w:type="dxa"/>
          </w:tcPr>
          <w:p w14:paraId="76CB81EB" w14:textId="35253FAE" w:rsidR="00180615" w:rsidRPr="00EC53D2" w:rsidRDefault="00180615" w:rsidP="00180615">
            <w:pPr>
              <w:jc w:val="both"/>
              <w:rPr>
                <w:rFonts w:ascii="Times New Roman" w:hAnsi="Times New Roman" w:cs="Times New Roman"/>
              </w:rPr>
            </w:pPr>
            <w:r w:rsidRPr="00EC53D2">
              <w:rPr>
                <w:rFonts w:ascii="Times New Roman" w:hAnsi="Times New Roman" w:cs="Times New Roman"/>
              </w:rPr>
              <w:t>Female</w:t>
            </w:r>
          </w:p>
        </w:tc>
        <w:tc>
          <w:tcPr>
            <w:tcW w:w="1962" w:type="dxa"/>
          </w:tcPr>
          <w:p w14:paraId="784404D6" w14:textId="556269A0" w:rsidR="00180615" w:rsidRPr="00EC53D2" w:rsidRDefault="00180615" w:rsidP="00180615">
            <w:pPr>
              <w:jc w:val="both"/>
              <w:rPr>
                <w:rFonts w:ascii="Times New Roman" w:hAnsi="Times New Roman" w:cs="Times New Roman"/>
              </w:rPr>
            </w:pPr>
            <w:r w:rsidRPr="00EC53D2">
              <w:rPr>
                <w:rFonts w:ascii="Times New Roman" w:hAnsi="Times New Roman" w:cs="Times New Roman"/>
              </w:rPr>
              <w:t>95</w:t>
            </w:r>
          </w:p>
        </w:tc>
        <w:tc>
          <w:tcPr>
            <w:tcW w:w="1681" w:type="dxa"/>
          </w:tcPr>
          <w:p w14:paraId="647A784E" w14:textId="74DAB0FA" w:rsidR="00180615" w:rsidRPr="00EC53D2" w:rsidRDefault="00A64764" w:rsidP="00180615">
            <w:pPr>
              <w:jc w:val="both"/>
              <w:rPr>
                <w:rFonts w:ascii="Times New Roman" w:hAnsi="Times New Roman" w:cs="Times New Roman"/>
              </w:rPr>
            </w:pPr>
            <w:r w:rsidRPr="00EC53D2">
              <w:rPr>
                <w:rFonts w:ascii="Times New Roman" w:hAnsi="Times New Roman" w:cs="Times New Roman"/>
              </w:rPr>
              <w:t>18.0</w:t>
            </w:r>
          </w:p>
        </w:tc>
        <w:tc>
          <w:tcPr>
            <w:tcW w:w="1494" w:type="dxa"/>
          </w:tcPr>
          <w:p w14:paraId="49663E33" w14:textId="64B44263" w:rsidR="00180615" w:rsidRPr="00EC53D2" w:rsidRDefault="00180615" w:rsidP="00180615">
            <w:pPr>
              <w:jc w:val="both"/>
              <w:rPr>
                <w:rFonts w:ascii="Times New Roman" w:hAnsi="Times New Roman" w:cs="Times New Roman"/>
              </w:rPr>
            </w:pPr>
          </w:p>
        </w:tc>
        <w:tc>
          <w:tcPr>
            <w:tcW w:w="1307" w:type="dxa"/>
          </w:tcPr>
          <w:p w14:paraId="726CF9A6" w14:textId="77777777" w:rsidR="00180615" w:rsidRPr="00EC53D2" w:rsidRDefault="00180615" w:rsidP="00180615">
            <w:pPr>
              <w:jc w:val="both"/>
              <w:rPr>
                <w:rFonts w:ascii="Times New Roman" w:hAnsi="Times New Roman" w:cs="Times New Roman"/>
              </w:rPr>
            </w:pPr>
          </w:p>
        </w:tc>
      </w:tr>
      <w:tr w:rsidR="00F41AA5" w:rsidRPr="00EC53D2" w14:paraId="5FC6FC7E" w14:textId="77777777" w:rsidTr="00067194">
        <w:trPr>
          <w:trHeight w:val="157"/>
        </w:trPr>
        <w:tc>
          <w:tcPr>
            <w:tcW w:w="1715" w:type="dxa"/>
            <w:vMerge w:val="restart"/>
            <w:vAlign w:val="center"/>
          </w:tcPr>
          <w:p w14:paraId="67F9C365" w14:textId="222E02CB" w:rsidR="00F41AA5" w:rsidRPr="00EC53D2" w:rsidRDefault="00F41AA5" w:rsidP="00F41AA5">
            <w:pPr>
              <w:rPr>
                <w:rFonts w:ascii="Times New Roman" w:hAnsi="Times New Roman" w:cs="Times New Roman"/>
              </w:rPr>
            </w:pPr>
            <w:r w:rsidRPr="00EC53D2">
              <w:rPr>
                <w:rFonts w:ascii="Times New Roman" w:hAnsi="Times New Roman" w:cs="Times New Roman"/>
              </w:rPr>
              <w:t>Place of Residence</w:t>
            </w:r>
          </w:p>
        </w:tc>
        <w:tc>
          <w:tcPr>
            <w:tcW w:w="2507" w:type="dxa"/>
          </w:tcPr>
          <w:p w14:paraId="73C9E270" w14:textId="051328B1" w:rsidR="00F41AA5" w:rsidRPr="00EC53D2" w:rsidRDefault="00F41AA5" w:rsidP="00F41AA5">
            <w:pPr>
              <w:jc w:val="both"/>
              <w:rPr>
                <w:rFonts w:ascii="Times New Roman" w:hAnsi="Times New Roman" w:cs="Times New Roman"/>
              </w:rPr>
            </w:pPr>
            <w:r w:rsidRPr="00EC53D2">
              <w:rPr>
                <w:rFonts w:ascii="Times New Roman" w:hAnsi="Times New Roman" w:cs="Times New Roman"/>
              </w:rPr>
              <w:t>Urban</w:t>
            </w:r>
          </w:p>
        </w:tc>
        <w:tc>
          <w:tcPr>
            <w:tcW w:w="1962" w:type="dxa"/>
          </w:tcPr>
          <w:p w14:paraId="2300E058" w14:textId="417E9778" w:rsidR="00F41AA5" w:rsidRPr="00EC53D2" w:rsidRDefault="00F41AA5" w:rsidP="00F41AA5">
            <w:pPr>
              <w:jc w:val="both"/>
              <w:rPr>
                <w:rFonts w:ascii="Times New Roman" w:hAnsi="Times New Roman" w:cs="Times New Roman"/>
              </w:rPr>
            </w:pPr>
            <w:r w:rsidRPr="00EC53D2">
              <w:rPr>
                <w:rFonts w:ascii="Times New Roman" w:hAnsi="Times New Roman" w:cs="Times New Roman"/>
              </w:rPr>
              <w:t>281</w:t>
            </w:r>
          </w:p>
        </w:tc>
        <w:tc>
          <w:tcPr>
            <w:tcW w:w="1681" w:type="dxa"/>
          </w:tcPr>
          <w:p w14:paraId="73AB5AF8" w14:textId="11F6F935" w:rsidR="00F41AA5" w:rsidRPr="00EC53D2" w:rsidRDefault="00F41AA5" w:rsidP="00F41AA5">
            <w:pPr>
              <w:jc w:val="both"/>
              <w:rPr>
                <w:rFonts w:ascii="Times New Roman" w:hAnsi="Times New Roman" w:cs="Times New Roman"/>
              </w:rPr>
            </w:pPr>
            <w:r w:rsidRPr="00EC53D2">
              <w:rPr>
                <w:rFonts w:ascii="Times New Roman" w:hAnsi="Times New Roman" w:cs="Times New Roman"/>
              </w:rPr>
              <w:t>53.0</w:t>
            </w:r>
          </w:p>
        </w:tc>
        <w:tc>
          <w:tcPr>
            <w:tcW w:w="1494" w:type="dxa"/>
          </w:tcPr>
          <w:p w14:paraId="0FCDD57B" w14:textId="3D3A0484" w:rsidR="00F41AA5" w:rsidRPr="00EC53D2" w:rsidRDefault="00F41AA5" w:rsidP="00F41AA5">
            <w:pPr>
              <w:jc w:val="both"/>
              <w:rPr>
                <w:rFonts w:ascii="Times New Roman" w:hAnsi="Times New Roman" w:cs="Times New Roman"/>
              </w:rPr>
            </w:pPr>
            <w:r w:rsidRPr="00EC53D2">
              <w:rPr>
                <w:rFonts w:ascii="Times New Roman" w:hAnsi="Times New Roman" w:cs="Times New Roman"/>
              </w:rPr>
              <w:t>1.93</w:t>
            </w:r>
          </w:p>
        </w:tc>
        <w:tc>
          <w:tcPr>
            <w:tcW w:w="1307" w:type="dxa"/>
          </w:tcPr>
          <w:p w14:paraId="66838D0C" w14:textId="2FA0F31D" w:rsidR="00F41AA5" w:rsidRPr="00EC53D2" w:rsidRDefault="00F41AA5" w:rsidP="00F41AA5">
            <w:pPr>
              <w:jc w:val="both"/>
              <w:rPr>
                <w:rFonts w:ascii="Times New Roman" w:hAnsi="Times New Roman" w:cs="Times New Roman"/>
              </w:rPr>
            </w:pPr>
            <w:r w:rsidRPr="00EC53D2">
              <w:rPr>
                <w:rFonts w:ascii="Times New Roman" w:hAnsi="Times New Roman" w:cs="Times New Roman"/>
              </w:rPr>
              <w:t>0.165</w:t>
            </w:r>
          </w:p>
        </w:tc>
      </w:tr>
      <w:tr w:rsidR="00A64764" w:rsidRPr="00EC53D2" w14:paraId="06794E68" w14:textId="77777777" w:rsidTr="00067194">
        <w:trPr>
          <w:trHeight w:val="119"/>
        </w:trPr>
        <w:tc>
          <w:tcPr>
            <w:tcW w:w="1715" w:type="dxa"/>
            <w:vMerge/>
          </w:tcPr>
          <w:p w14:paraId="19580AF2" w14:textId="77777777" w:rsidR="00A64764" w:rsidRPr="00EC53D2" w:rsidRDefault="00A64764" w:rsidP="00A64764">
            <w:pPr>
              <w:jc w:val="both"/>
              <w:rPr>
                <w:rFonts w:ascii="Times New Roman" w:hAnsi="Times New Roman" w:cs="Times New Roman"/>
              </w:rPr>
            </w:pPr>
          </w:p>
        </w:tc>
        <w:tc>
          <w:tcPr>
            <w:tcW w:w="2507" w:type="dxa"/>
          </w:tcPr>
          <w:p w14:paraId="61A8B32A" w14:textId="362F3459" w:rsidR="00A64764" w:rsidRPr="00EC53D2" w:rsidRDefault="00A64764" w:rsidP="00A64764">
            <w:pPr>
              <w:jc w:val="both"/>
              <w:rPr>
                <w:rFonts w:ascii="Times New Roman" w:hAnsi="Times New Roman" w:cs="Times New Roman"/>
              </w:rPr>
            </w:pPr>
            <w:r w:rsidRPr="00EC53D2">
              <w:rPr>
                <w:rFonts w:ascii="Times New Roman" w:hAnsi="Times New Roman" w:cs="Times New Roman"/>
              </w:rPr>
              <w:t>Rural</w:t>
            </w:r>
          </w:p>
        </w:tc>
        <w:tc>
          <w:tcPr>
            <w:tcW w:w="1962" w:type="dxa"/>
          </w:tcPr>
          <w:p w14:paraId="1FEE3684" w14:textId="05AC5EDC" w:rsidR="00A64764" w:rsidRPr="00EC53D2" w:rsidRDefault="00A64764" w:rsidP="00A64764">
            <w:pPr>
              <w:jc w:val="both"/>
              <w:rPr>
                <w:rFonts w:ascii="Times New Roman" w:hAnsi="Times New Roman" w:cs="Times New Roman"/>
              </w:rPr>
            </w:pPr>
            <w:r w:rsidRPr="00EC53D2">
              <w:rPr>
                <w:rFonts w:ascii="Times New Roman" w:hAnsi="Times New Roman" w:cs="Times New Roman"/>
              </w:rPr>
              <w:t>249</w:t>
            </w:r>
          </w:p>
        </w:tc>
        <w:tc>
          <w:tcPr>
            <w:tcW w:w="1681" w:type="dxa"/>
          </w:tcPr>
          <w:p w14:paraId="10AE1AC8" w14:textId="1B66557E" w:rsidR="00A64764" w:rsidRPr="00EC53D2" w:rsidRDefault="00A64764" w:rsidP="00A64764">
            <w:pPr>
              <w:jc w:val="both"/>
              <w:rPr>
                <w:rFonts w:ascii="Times New Roman" w:hAnsi="Times New Roman" w:cs="Times New Roman"/>
              </w:rPr>
            </w:pPr>
            <w:r w:rsidRPr="00EC53D2">
              <w:rPr>
                <w:rFonts w:ascii="Times New Roman" w:hAnsi="Times New Roman" w:cs="Times New Roman"/>
              </w:rPr>
              <w:t>47.0</w:t>
            </w:r>
          </w:p>
        </w:tc>
        <w:tc>
          <w:tcPr>
            <w:tcW w:w="1494" w:type="dxa"/>
          </w:tcPr>
          <w:p w14:paraId="0246204F" w14:textId="3BED12EE" w:rsidR="00A64764" w:rsidRPr="00EC53D2" w:rsidRDefault="00A64764" w:rsidP="00A64764">
            <w:pPr>
              <w:jc w:val="both"/>
              <w:rPr>
                <w:rFonts w:ascii="Times New Roman" w:hAnsi="Times New Roman" w:cs="Times New Roman"/>
              </w:rPr>
            </w:pPr>
          </w:p>
        </w:tc>
        <w:tc>
          <w:tcPr>
            <w:tcW w:w="1307" w:type="dxa"/>
          </w:tcPr>
          <w:p w14:paraId="57522C46" w14:textId="77777777" w:rsidR="00A64764" w:rsidRPr="00EC53D2" w:rsidRDefault="00A64764" w:rsidP="00A64764">
            <w:pPr>
              <w:jc w:val="both"/>
              <w:rPr>
                <w:rFonts w:ascii="Times New Roman" w:hAnsi="Times New Roman" w:cs="Times New Roman"/>
              </w:rPr>
            </w:pPr>
          </w:p>
        </w:tc>
      </w:tr>
      <w:tr w:rsidR="00B3255F" w:rsidRPr="00EC53D2" w14:paraId="40FE0962" w14:textId="77777777" w:rsidTr="00067194">
        <w:trPr>
          <w:trHeight w:val="119"/>
        </w:trPr>
        <w:tc>
          <w:tcPr>
            <w:tcW w:w="1715" w:type="dxa"/>
            <w:vMerge w:val="restart"/>
            <w:vAlign w:val="center"/>
          </w:tcPr>
          <w:p w14:paraId="16C693B9" w14:textId="41DCD0EC" w:rsidR="00B3255F" w:rsidRPr="00EC53D2" w:rsidRDefault="00B3255F" w:rsidP="00B3255F">
            <w:pPr>
              <w:rPr>
                <w:rFonts w:ascii="Times New Roman" w:hAnsi="Times New Roman" w:cs="Times New Roman"/>
              </w:rPr>
            </w:pPr>
            <w:r w:rsidRPr="00EC53D2">
              <w:rPr>
                <w:rFonts w:ascii="Times New Roman" w:hAnsi="Times New Roman" w:cs="Times New Roman"/>
              </w:rPr>
              <w:t>Age Group (years)</w:t>
            </w:r>
          </w:p>
        </w:tc>
        <w:tc>
          <w:tcPr>
            <w:tcW w:w="2507" w:type="dxa"/>
          </w:tcPr>
          <w:p w14:paraId="5B1DD0FC" w14:textId="2ECCAADE" w:rsidR="00B3255F" w:rsidRPr="00EC53D2" w:rsidRDefault="00B3255F" w:rsidP="00B3255F">
            <w:pPr>
              <w:jc w:val="both"/>
              <w:rPr>
                <w:rFonts w:ascii="Times New Roman" w:hAnsi="Times New Roman" w:cs="Times New Roman"/>
              </w:rPr>
            </w:pPr>
            <w:r w:rsidRPr="00EC53D2">
              <w:rPr>
                <w:rFonts w:ascii="Times New Roman" w:hAnsi="Times New Roman" w:cs="Times New Roman"/>
              </w:rPr>
              <w:t>15–30</w:t>
            </w:r>
          </w:p>
        </w:tc>
        <w:tc>
          <w:tcPr>
            <w:tcW w:w="1962" w:type="dxa"/>
          </w:tcPr>
          <w:p w14:paraId="21E736E7" w14:textId="7CC3D3D2" w:rsidR="00B3255F" w:rsidRPr="00EC53D2" w:rsidRDefault="00B3255F" w:rsidP="00B3255F">
            <w:pPr>
              <w:jc w:val="both"/>
              <w:rPr>
                <w:rFonts w:ascii="Times New Roman" w:hAnsi="Times New Roman" w:cs="Times New Roman"/>
              </w:rPr>
            </w:pPr>
            <w:r w:rsidRPr="00EC53D2">
              <w:rPr>
                <w:rFonts w:ascii="Times New Roman" w:hAnsi="Times New Roman" w:cs="Times New Roman"/>
              </w:rPr>
              <w:t>276</w:t>
            </w:r>
          </w:p>
        </w:tc>
        <w:tc>
          <w:tcPr>
            <w:tcW w:w="1681" w:type="dxa"/>
          </w:tcPr>
          <w:p w14:paraId="3E321036" w14:textId="7FA222EF" w:rsidR="00B3255F" w:rsidRPr="00EC53D2" w:rsidRDefault="00B3255F" w:rsidP="00B3255F">
            <w:pPr>
              <w:jc w:val="both"/>
              <w:rPr>
                <w:rFonts w:ascii="Times New Roman" w:hAnsi="Times New Roman" w:cs="Times New Roman"/>
              </w:rPr>
            </w:pPr>
            <w:r w:rsidRPr="00EC53D2">
              <w:rPr>
                <w:rFonts w:ascii="Times New Roman" w:hAnsi="Times New Roman" w:cs="Times New Roman"/>
              </w:rPr>
              <w:t>52.0</w:t>
            </w:r>
          </w:p>
        </w:tc>
        <w:tc>
          <w:tcPr>
            <w:tcW w:w="1494" w:type="dxa"/>
          </w:tcPr>
          <w:p w14:paraId="21A4CEB8" w14:textId="0A233093" w:rsidR="00B3255F" w:rsidRPr="00EC53D2" w:rsidRDefault="00B3255F" w:rsidP="00B3255F">
            <w:pPr>
              <w:jc w:val="both"/>
              <w:rPr>
                <w:rFonts w:ascii="Times New Roman" w:hAnsi="Times New Roman" w:cs="Times New Roman"/>
              </w:rPr>
            </w:pPr>
            <w:r w:rsidRPr="00EC53D2">
              <w:rPr>
                <w:rFonts w:ascii="Times New Roman" w:hAnsi="Times New Roman" w:cs="Times New Roman"/>
              </w:rPr>
              <w:t>238.75</w:t>
            </w:r>
          </w:p>
        </w:tc>
        <w:tc>
          <w:tcPr>
            <w:tcW w:w="1307" w:type="dxa"/>
          </w:tcPr>
          <w:p w14:paraId="4A9B4049" w14:textId="030B33B9" w:rsidR="00B3255F" w:rsidRPr="00EC53D2" w:rsidRDefault="00B3255F" w:rsidP="00B3255F">
            <w:pPr>
              <w:jc w:val="both"/>
              <w:rPr>
                <w:rFonts w:ascii="Times New Roman" w:hAnsi="Times New Roman" w:cs="Times New Roman"/>
              </w:rPr>
            </w:pPr>
            <w:r w:rsidRPr="00EC53D2">
              <w:rPr>
                <w:rFonts w:ascii="Times New Roman" w:hAnsi="Times New Roman" w:cs="Times New Roman"/>
              </w:rPr>
              <w:t>&lt;0.001</w:t>
            </w:r>
          </w:p>
        </w:tc>
      </w:tr>
      <w:tr w:rsidR="00B3255F" w:rsidRPr="00EC53D2" w14:paraId="297E75B7" w14:textId="77777777" w:rsidTr="00067194">
        <w:trPr>
          <w:trHeight w:val="119"/>
        </w:trPr>
        <w:tc>
          <w:tcPr>
            <w:tcW w:w="1715" w:type="dxa"/>
            <w:vMerge/>
          </w:tcPr>
          <w:p w14:paraId="0A95B572" w14:textId="77777777" w:rsidR="00B3255F" w:rsidRPr="00EC53D2" w:rsidRDefault="00B3255F" w:rsidP="00B3255F">
            <w:pPr>
              <w:jc w:val="both"/>
              <w:rPr>
                <w:rFonts w:ascii="Times New Roman" w:hAnsi="Times New Roman" w:cs="Times New Roman"/>
              </w:rPr>
            </w:pPr>
          </w:p>
        </w:tc>
        <w:tc>
          <w:tcPr>
            <w:tcW w:w="2507" w:type="dxa"/>
          </w:tcPr>
          <w:p w14:paraId="2C5E8C97" w14:textId="0E72788A" w:rsidR="00B3255F" w:rsidRPr="00EC53D2" w:rsidRDefault="00B3255F" w:rsidP="00B3255F">
            <w:pPr>
              <w:jc w:val="both"/>
              <w:rPr>
                <w:rFonts w:ascii="Times New Roman" w:hAnsi="Times New Roman" w:cs="Times New Roman"/>
              </w:rPr>
            </w:pPr>
            <w:r w:rsidRPr="00EC53D2">
              <w:rPr>
                <w:rFonts w:ascii="Times New Roman" w:hAnsi="Times New Roman" w:cs="Times New Roman"/>
              </w:rPr>
              <w:t>31–60</w:t>
            </w:r>
          </w:p>
        </w:tc>
        <w:tc>
          <w:tcPr>
            <w:tcW w:w="1962" w:type="dxa"/>
          </w:tcPr>
          <w:p w14:paraId="42443CD8" w14:textId="4CE36A30" w:rsidR="00B3255F" w:rsidRPr="00EC53D2" w:rsidRDefault="00B3255F" w:rsidP="00B3255F">
            <w:pPr>
              <w:jc w:val="both"/>
              <w:rPr>
                <w:rFonts w:ascii="Times New Roman" w:hAnsi="Times New Roman" w:cs="Times New Roman"/>
              </w:rPr>
            </w:pPr>
            <w:r w:rsidRPr="00EC53D2">
              <w:rPr>
                <w:rFonts w:ascii="Times New Roman" w:hAnsi="Times New Roman" w:cs="Times New Roman"/>
              </w:rPr>
              <w:t>244</w:t>
            </w:r>
          </w:p>
        </w:tc>
        <w:tc>
          <w:tcPr>
            <w:tcW w:w="1681" w:type="dxa"/>
          </w:tcPr>
          <w:p w14:paraId="4EDF08F4" w14:textId="46D71730" w:rsidR="00B3255F" w:rsidRPr="00EC53D2" w:rsidRDefault="00B3255F" w:rsidP="00B3255F">
            <w:pPr>
              <w:jc w:val="both"/>
              <w:rPr>
                <w:rFonts w:ascii="Times New Roman" w:hAnsi="Times New Roman" w:cs="Times New Roman"/>
              </w:rPr>
            </w:pPr>
            <w:r w:rsidRPr="00EC53D2">
              <w:rPr>
                <w:rFonts w:ascii="Times New Roman" w:hAnsi="Times New Roman" w:cs="Times New Roman"/>
              </w:rPr>
              <w:t>46.0</w:t>
            </w:r>
          </w:p>
        </w:tc>
        <w:tc>
          <w:tcPr>
            <w:tcW w:w="1494" w:type="dxa"/>
          </w:tcPr>
          <w:p w14:paraId="5D67545A" w14:textId="455579F8" w:rsidR="00B3255F" w:rsidRPr="00EC53D2" w:rsidRDefault="00B3255F" w:rsidP="00B3255F">
            <w:pPr>
              <w:jc w:val="both"/>
              <w:rPr>
                <w:rFonts w:ascii="Times New Roman" w:hAnsi="Times New Roman" w:cs="Times New Roman"/>
              </w:rPr>
            </w:pPr>
          </w:p>
        </w:tc>
        <w:tc>
          <w:tcPr>
            <w:tcW w:w="1307" w:type="dxa"/>
          </w:tcPr>
          <w:p w14:paraId="601BE71F" w14:textId="77777777" w:rsidR="00B3255F" w:rsidRPr="00EC53D2" w:rsidRDefault="00B3255F" w:rsidP="00B3255F">
            <w:pPr>
              <w:jc w:val="both"/>
              <w:rPr>
                <w:rFonts w:ascii="Times New Roman" w:hAnsi="Times New Roman" w:cs="Times New Roman"/>
              </w:rPr>
            </w:pPr>
          </w:p>
        </w:tc>
      </w:tr>
      <w:tr w:rsidR="00B3255F" w:rsidRPr="00EC53D2" w14:paraId="01BFB87C" w14:textId="77777777" w:rsidTr="00067194">
        <w:trPr>
          <w:trHeight w:val="119"/>
        </w:trPr>
        <w:tc>
          <w:tcPr>
            <w:tcW w:w="1715" w:type="dxa"/>
            <w:vMerge/>
          </w:tcPr>
          <w:p w14:paraId="15B90960" w14:textId="77777777" w:rsidR="00B3255F" w:rsidRPr="00EC53D2" w:rsidRDefault="00B3255F" w:rsidP="00B3255F">
            <w:pPr>
              <w:jc w:val="both"/>
              <w:rPr>
                <w:rFonts w:ascii="Times New Roman" w:hAnsi="Times New Roman" w:cs="Times New Roman"/>
              </w:rPr>
            </w:pPr>
          </w:p>
        </w:tc>
        <w:tc>
          <w:tcPr>
            <w:tcW w:w="2507" w:type="dxa"/>
          </w:tcPr>
          <w:p w14:paraId="76A954FB" w14:textId="44A158F0" w:rsidR="00B3255F" w:rsidRPr="00EC53D2" w:rsidRDefault="00B3255F" w:rsidP="00B3255F">
            <w:pPr>
              <w:jc w:val="both"/>
              <w:rPr>
                <w:rFonts w:ascii="Times New Roman" w:hAnsi="Times New Roman" w:cs="Times New Roman"/>
              </w:rPr>
            </w:pPr>
            <w:r w:rsidRPr="00EC53D2">
              <w:rPr>
                <w:rFonts w:ascii="Times New Roman" w:hAnsi="Times New Roman" w:cs="Times New Roman"/>
              </w:rPr>
              <w:t>&gt;60</w:t>
            </w:r>
          </w:p>
        </w:tc>
        <w:tc>
          <w:tcPr>
            <w:tcW w:w="1962" w:type="dxa"/>
          </w:tcPr>
          <w:p w14:paraId="592E085C" w14:textId="6613A514" w:rsidR="00B3255F" w:rsidRPr="00EC53D2" w:rsidRDefault="00B3255F" w:rsidP="00B3255F">
            <w:pPr>
              <w:jc w:val="both"/>
              <w:rPr>
                <w:rFonts w:ascii="Times New Roman" w:hAnsi="Times New Roman" w:cs="Times New Roman"/>
              </w:rPr>
            </w:pPr>
            <w:r w:rsidRPr="00EC53D2">
              <w:rPr>
                <w:rFonts w:ascii="Times New Roman" w:hAnsi="Times New Roman" w:cs="Times New Roman"/>
              </w:rPr>
              <w:t>10</w:t>
            </w:r>
          </w:p>
        </w:tc>
        <w:tc>
          <w:tcPr>
            <w:tcW w:w="1681" w:type="dxa"/>
          </w:tcPr>
          <w:p w14:paraId="56038FE8" w14:textId="10CC7FDB" w:rsidR="00B3255F" w:rsidRPr="00EC53D2" w:rsidRDefault="00B3255F" w:rsidP="00B3255F">
            <w:pPr>
              <w:jc w:val="both"/>
              <w:rPr>
                <w:rFonts w:ascii="Times New Roman" w:hAnsi="Times New Roman" w:cs="Times New Roman"/>
              </w:rPr>
            </w:pPr>
            <w:r w:rsidRPr="00EC53D2">
              <w:rPr>
                <w:rFonts w:ascii="Times New Roman" w:hAnsi="Times New Roman" w:cs="Times New Roman"/>
              </w:rPr>
              <w:t>2.0</w:t>
            </w:r>
          </w:p>
        </w:tc>
        <w:tc>
          <w:tcPr>
            <w:tcW w:w="1494" w:type="dxa"/>
          </w:tcPr>
          <w:p w14:paraId="61B492FE" w14:textId="7B3500DF" w:rsidR="00B3255F" w:rsidRPr="00EC53D2" w:rsidRDefault="00B3255F" w:rsidP="00B3255F">
            <w:pPr>
              <w:jc w:val="both"/>
              <w:rPr>
                <w:rFonts w:ascii="Times New Roman" w:hAnsi="Times New Roman" w:cs="Times New Roman"/>
              </w:rPr>
            </w:pPr>
          </w:p>
        </w:tc>
        <w:tc>
          <w:tcPr>
            <w:tcW w:w="1307" w:type="dxa"/>
          </w:tcPr>
          <w:p w14:paraId="677800B3" w14:textId="77777777" w:rsidR="00B3255F" w:rsidRPr="00EC53D2" w:rsidRDefault="00B3255F" w:rsidP="00B3255F">
            <w:pPr>
              <w:jc w:val="both"/>
              <w:rPr>
                <w:rFonts w:ascii="Times New Roman" w:hAnsi="Times New Roman" w:cs="Times New Roman"/>
              </w:rPr>
            </w:pPr>
          </w:p>
        </w:tc>
      </w:tr>
      <w:tr w:rsidR="00757B32" w:rsidRPr="00EC53D2" w14:paraId="6D2F1D5C" w14:textId="77777777" w:rsidTr="00067194">
        <w:trPr>
          <w:trHeight w:val="119"/>
        </w:trPr>
        <w:tc>
          <w:tcPr>
            <w:tcW w:w="1715" w:type="dxa"/>
            <w:vMerge w:val="restart"/>
            <w:vAlign w:val="center"/>
          </w:tcPr>
          <w:p w14:paraId="2BF7317E" w14:textId="5927DE00" w:rsidR="00757B32" w:rsidRPr="00EC53D2" w:rsidRDefault="00757B32" w:rsidP="00757B32">
            <w:pPr>
              <w:jc w:val="both"/>
              <w:rPr>
                <w:rFonts w:ascii="Times New Roman" w:hAnsi="Times New Roman" w:cs="Times New Roman"/>
              </w:rPr>
            </w:pPr>
            <w:r w:rsidRPr="00EC53D2">
              <w:rPr>
                <w:rFonts w:ascii="Times New Roman" w:hAnsi="Times New Roman" w:cs="Times New Roman"/>
              </w:rPr>
              <w:t>Marital Status</w:t>
            </w:r>
          </w:p>
        </w:tc>
        <w:tc>
          <w:tcPr>
            <w:tcW w:w="2507" w:type="dxa"/>
          </w:tcPr>
          <w:p w14:paraId="453287DD" w14:textId="75C07DA6" w:rsidR="00757B32" w:rsidRPr="00EC53D2" w:rsidRDefault="00757B32" w:rsidP="00757B32">
            <w:pPr>
              <w:jc w:val="both"/>
              <w:rPr>
                <w:rFonts w:ascii="Times New Roman" w:hAnsi="Times New Roman" w:cs="Times New Roman"/>
              </w:rPr>
            </w:pPr>
            <w:r w:rsidRPr="00EC53D2">
              <w:rPr>
                <w:rFonts w:ascii="Times New Roman" w:hAnsi="Times New Roman" w:cs="Times New Roman"/>
              </w:rPr>
              <w:t>Married</w:t>
            </w:r>
          </w:p>
        </w:tc>
        <w:tc>
          <w:tcPr>
            <w:tcW w:w="1962" w:type="dxa"/>
          </w:tcPr>
          <w:p w14:paraId="3E930200" w14:textId="74A13CB1" w:rsidR="00757B32" w:rsidRPr="00EC53D2" w:rsidRDefault="00757B32" w:rsidP="00757B32">
            <w:pPr>
              <w:jc w:val="both"/>
              <w:rPr>
                <w:rFonts w:ascii="Times New Roman" w:hAnsi="Times New Roman" w:cs="Times New Roman"/>
              </w:rPr>
            </w:pPr>
            <w:r w:rsidRPr="00EC53D2">
              <w:rPr>
                <w:rFonts w:ascii="Times New Roman" w:hAnsi="Times New Roman" w:cs="Times New Roman"/>
              </w:rPr>
              <w:t>339</w:t>
            </w:r>
          </w:p>
        </w:tc>
        <w:tc>
          <w:tcPr>
            <w:tcW w:w="1681" w:type="dxa"/>
          </w:tcPr>
          <w:p w14:paraId="28C0963D" w14:textId="68A24803" w:rsidR="00757B32" w:rsidRPr="00EC53D2" w:rsidRDefault="00757B32" w:rsidP="00757B32">
            <w:pPr>
              <w:jc w:val="both"/>
              <w:rPr>
                <w:rFonts w:ascii="Times New Roman" w:hAnsi="Times New Roman" w:cs="Times New Roman"/>
              </w:rPr>
            </w:pPr>
            <w:r w:rsidRPr="00EC53D2">
              <w:rPr>
                <w:rFonts w:ascii="Times New Roman" w:hAnsi="Times New Roman" w:cs="Times New Roman"/>
              </w:rPr>
              <w:t>64.0</w:t>
            </w:r>
          </w:p>
        </w:tc>
        <w:tc>
          <w:tcPr>
            <w:tcW w:w="1494" w:type="dxa"/>
          </w:tcPr>
          <w:p w14:paraId="7F506CA3" w14:textId="34B182B7" w:rsidR="00757B32" w:rsidRPr="00EC53D2" w:rsidRDefault="00757B32" w:rsidP="00757B32">
            <w:pPr>
              <w:jc w:val="both"/>
              <w:rPr>
                <w:rFonts w:ascii="Times New Roman" w:hAnsi="Times New Roman" w:cs="Times New Roman"/>
              </w:rPr>
            </w:pPr>
            <w:r w:rsidRPr="00EC53D2">
              <w:rPr>
                <w:rFonts w:ascii="Times New Roman" w:hAnsi="Times New Roman" w:cs="Times New Roman"/>
              </w:rPr>
              <w:t>316.46</w:t>
            </w:r>
          </w:p>
        </w:tc>
        <w:tc>
          <w:tcPr>
            <w:tcW w:w="1307" w:type="dxa"/>
          </w:tcPr>
          <w:p w14:paraId="4B64982F" w14:textId="18F08857" w:rsidR="00757B32" w:rsidRPr="00EC53D2" w:rsidRDefault="00757B32" w:rsidP="00757B32">
            <w:pPr>
              <w:jc w:val="both"/>
              <w:rPr>
                <w:rFonts w:ascii="Times New Roman" w:hAnsi="Times New Roman" w:cs="Times New Roman"/>
              </w:rPr>
            </w:pPr>
            <w:r w:rsidRPr="00EC53D2">
              <w:rPr>
                <w:rFonts w:ascii="Times New Roman" w:hAnsi="Times New Roman" w:cs="Times New Roman"/>
              </w:rPr>
              <w:t>&lt;0.001</w:t>
            </w:r>
          </w:p>
        </w:tc>
      </w:tr>
      <w:tr w:rsidR="00757B32" w:rsidRPr="00EC53D2" w14:paraId="2B5BE718" w14:textId="77777777" w:rsidTr="00067194">
        <w:trPr>
          <w:trHeight w:val="119"/>
        </w:trPr>
        <w:tc>
          <w:tcPr>
            <w:tcW w:w="1715" w:type="dxa"/>
            <w:vMerge/>
          </w:tcPr>
          <w:p w14:paraId="12CF3EAF" w14:textId="77777777" w:rsidR="00757B32" w:rsidRPr="00EC53D2" w:rsidRDefault="00757B32" w:rsidP="00757B32">
            <w:pPr>
              <w:jc w:val="both"/>
              <w:rPr>
                <w:rFonts w:ascii="Times New Roman" w:hAnsi="Times New Roman" w:cs="Times New Roman"/>
              </w:rPr>
            </w:pPr>
          </w:p>
        </w:tc>
        <w:tc>
          <w:tcPr>
            <w:tcW w:w="2507" w:type="dxa"/>
          </w:tcPr>
          <w:p w14:paraId="33A46F01" w14:textId="75753405" w:rsidR="00757B32" w:rsidRPr="00EC53D2" w:rsidRDefault="00757B32" w:rsidP="00757B32">
            <w:pPr>
              <w:jc w:val="both"/>
              <w:rPr>
                <w:rFonts w:ascii="Times New Roman" w:hAnsi="Times New Roman" w:cs="Times New Roman"/>
              </w:rPr>
            </w:pPr>
            <w:r w:rsidRPr="00EC53D2">
              <w:rPr>
                <w:rFonts w:ascii="Times New Roman" w:hAnsi="Times New Roman" w:cs="Times New Roman"/>
              </w:rPr>
              <w:t>Unmarried</w:t>
            </w:r>
          </w:p>
        </w:tc>
        <w:tc>
          <w:tcPr>
            <w:tcW w:w="1962" w:type="dxa"/>
          </w:tcPr>
          <w:p w14:paraId="46435261" w14:textId="0486361F" w:rsidR="00757B32" w:rsidRPr="00EC53D2" w:rsidRDefault="00757B32" w:rsidP="00757B32">
            <w:pPr>
              <w:jc w:val="both"/>
              <w:rPr>
                <w:rFonts w:ascii="Times New Roman" w:hAnsi="Times New Roman" w:cs="Times New Roman"/>
              </w:rPr>
            </w:pPr>
            <w:r w:rsidRPr="00EC53D2">
              <w:rPr>
                <w:rFonts w:ascii="Times New Roman" w:hAnsi="Times New Roman" w:cs="Times New Roman"/>
              </w:rPr>
              <w:t>186</w:t>
            </w:r>
          </w:p>
        </w:tc>
        <w:tc>
          <w:tcPr>
            <w:tcW w:w="1681" w:type="dxa"/>
          </w:tcPr>
          <w:p w14:paraId="1FBC24FD" w14:textId="704EA7A2" w:rsidR="00757B32" w:rsidRPr="00EC53D2" w:rsidRDefault="00757B32" w:rsidP="00757B32">
            <w:pPr>
              <w:jc w:val="both"/>
              <w:rPr>
                <w:rFonts w:ascii="Times New Roman" w:hAnsi="Times New Roman" w:cs="Times New Roman"/>
              </w:rPr>
            </w:pPr>
            <w:r w:rsidRPr="00EC53D2">
              <w:rPr>
                <w:rFonts w:ascii="Times New Roman" w:hAnsi="Times New Roman" w:cs="Times New Roman"/>
              </w:rPr>
              <w:t>35.0</w:t>
            </w:r>
          </w:p>
        </w:tc>
        <w:tc>
          <w:tcPr>
            <w:tcW w:w="1494" w:type="dxa"/>
          </w:tcPr>
          <w:p w14:paraId="0FE3B7E8" w14:textId="62BFB62B" w:rsidR="00757B32" w:rsidRPr="00EC53D2" w:rsidRDefault="00757B32" w:rsidP="00757B32">
            <w:pPr>
              <w:jc w:val="both"/>
              <w:rPr>
                <w:rFonts w:ascii="Times New Roman" w:hAnsi="Times New Roman" w:cs="Times New Roman"/>
              </w:rPr>
            </w:pPr>
          </w:p>
        </w:tc>
        <w:tc>
          <w:tcPr>
            <w:tcW w:w="1307" w:type="dxa"/>
          </w:tcPr>
          <w:p w14:paraId="2E130963" w14:textId="77777777" w:rsidR="00757B32" w:rsidRPr="00EC53D2" w:rsidRDefault="00757B32" w:rsidP="00757B32">
            <w:pPr>
              <w:jc w:val="both"/>
              <w:rPr>
                <w:rFonts w:ascii="Times New Roman" w:hAnsi="Times New Roman" w:cs="Times New Roman"/>
              </w:rPr>
            </w:pPr>
          </w:p>
        </w:tc>
      </w:tr>
      <w:tr w:rsidR="00757B32" w:rsidRPr="00EC53D2" w14:paraId="6016D816" w14:textId="77777777" w:rsidTr="00067194">
        <w:trPr>
          <w:trHeight w:val="119"/>
        </w:trPr>
        <w:tc>
          <w:tcPr>
            <w:tcW w:w="1715" w:type="dxa"/>
            <w:vMerge/>
          </w:tcPr>
          <w:p w14:paraId="5DF00B89" w14:textId="77777777" w:rsidR="00757B32" w:rsidRPr="00EC53D2" w:rsidRDefault="00757B32" w:rsidP="00757B32">
            <w:pPr>
              <w:jc w:val="both"/>
              <w:rPr>
                <w:rFonts w:ascii="Times New Roman" w:hAnsi="Times New Roman" w:cs="Times New Roman"/>
              </w:rPr>
            </w:pPr>
          </w:p>
        </w:tc>
        <w:tc>
          <w:tcPr>
            <w:tcW w:w="2507" w:type="dxa"/>
          </w:tcPr>
          <w:p w14:paraId="5CF769C0" w14:textId="1481DAC1" w:rsidR="00757B32" w:rsidRPr="00EC53D2" w:rsidRDefault="00757B32" w:rsidP="00757B32">
            <w:pPr>
              <w:jc w:val="both"/>
              <w:rPr>
                <w:rFonts w:ascii="Times New Roman" w:hAnsi="Times New Roman" w:cs="Times New Roman"/>
              </w:rPr>
            </w:pPr>
            <w:r w:rsidRPr="00EC53D2">
              <w:rPr>
                <w:rFonts w:ascii="Times New Roman" w:hAnsi="Times New Roman" w:cs="Times New Roman"/>
              </w:rPr>
              <w:t>Widowed/Divorced</w:t>
            </w:r>
          </w:p>
        </w:tc>
        <w:tc>
          <w:tcPr>
            <w:tcW w:w="1962" w:type="dxa"/>
          </w:tcPr>
          <w:p w14:paraId="1AA0C292" w14:textId="46774BDF" w:rsidR="00757B32" w:rsidRPr="00EC53D2" w:rsidRDefault="00757B32" w:rsidP="00757B32">
            <w:pPr>
              <w:jc w:val="both"/>
              <w:rPr>
                <w:rFonts w:ascii="Times New Roman" w:hAnsi="Times New Roman" w:cs="Times New Roman"/>
              </w:rPr>
            </w:pPr>
            <w:r w:rsidRPr="00EC53D2">
              <w:rPr>
                <w:rFonts w:ascii="Times New Roman" w:hAnsi="Times New Roman" w:cs="Times New Roman"/>
              </w:rPr>
              <w:t>5</w:t>
            </w:r>
          </w:p>
        </w:tc>
        <w:tc>
          <w:tcPr>
            <w:tcW w:w="1681" w:type="dxa"/>
          </w:tcPr>
          <w:p w14:paraId="24550A05" w14:textId="3228EA5F" w:rsidR="00757B32" w:rsidRPr="00EC53D2" w:rsidRDefault="00757B32" w:rsidP="00757B32">
            <w:pPr>
              <w:jc w:val="both"/>
              <w:rPr>
                <w:rFonts w:ascii="Times New Roman" w:hAnsi="Times New Roman" w:cs="Times New Roman"/>
              </w:rPr>
            </w:pPr>
            <w:r w:rsidRPr="00EC53D2">
              <w:rPr>
                <w:rFonts w:ascii="Times New Roman" w:hAnsi="Times New Roman" w:cs="Times New Roman"/>
              </w:rPr>
              <w:t>1.0</w:t>
            </w:r>
          </w:p>
        </w:tc>
        <w:tc>
          <w:tcPr>
            <w:tcW w:w="1494" w:type="dxa"/>
          </w:tcPr>
          <w:p w14:paraId="6D6E3762" w14:textId="6FBC7EAA" w:rsidR="00757B32" w:rsidRPr="00EC53D2" w:rsidRDefault="00757B32" w:rsidP="00757B32">
            <w:pPr>
              <w:jc w:val="both"/>
              <w:rPr>
                <w:rFonts w:ascii="Times New Roman" w:hAnsi="Times New Roman" w:cs="Times New Roman"/>
              </w:rPr>
            </w:pPr>
          </w:p>
        </w:tc>
        <w:tc>
          <w:tcPr>
            <w:tcW w:w="1307" w:type="dxa"/>
          </w:tcPr>
          <w:p w14:paraId="384F9513" w14:textId="77777777" w:rsidR="00757B32" w:rsidRPr="00EC53D2" w:rsidRDefault="00757B32" w:rsidP="00757B32">
            <w:pPr>
              <w:jc w:val="both"/>
              <w:rPr>
                <w:rFonts w:ascii="Times New Roman" w:hAnsi="Times New Roman" w:cs="Times New Roman"/>
              </w:rPr>
            </w:pPr>
          </w:p>
        </w:tc>
      </w:tr>
      <w:tr w:rsidR="00683A4D" w:rsidRPr="00EC53D2" w14:paraId="47D61856" w14:textId="77777777" w:rsidTr="00067194">
        <w:trPr>
          <w:trHeight w:val="119"/>
        </w:trPr>
        <w:tc>
          <w:tcPr>
            <w:tcW w:w="1715" w:type="dxa"/>
            <w:vMerge w:val="restart"/>
            <w:vAlign w:val="center"/>
          </w:tcPr>
          <w:p w14:paraId="260AC577" w14:textId="41E4F5A6" w:rsidR="00683A4D" w:rsidRPr="00EC53D2" w:rsidRDefault="00683A4D" w:rsidP="00683A4D">
            <w:pPr>
              <w:rPr>
                <w:rFonts w:ascii="Times New Roman" w:hAnsi="Times New Roman" w:cs="Times New Roman"/>
              </w:rPr>
            </w:pPr>
            <w:r w:rsidRPr="00EC53D2">
              <w:rPr>
                <w:rFonts w:ascii="Times New Roman" w:hAnsi="Times New Roman" w:cs="Times New Roman"/>
              </w:rPr>
              <w:t>Monthly Income (BDT)</w:t>
            </w:r>
          </w:p>
        </w:tc>
        <w:tc>
          <w:tcPr>
            <w:tcW w:w="2507" w:type="dxa"/>
          </w:tcPr>
          <w:p w14:paraId="06462AB8" w14:textId="7262F520" w:rsidR="00683A4D" w:rsidRPr="00EC53D2" w:rsidRDefault="00683A4D" w:rsidP="00683A4D">
            <w:pPr>
              <w:jc w:val="both"/>
              <w:rPr>
                <w:rFonts w:ascii="Times New Roman" w:hAnsi="Times New Roman" w:cs="Times New Roman"/>
              </w:rPr>
            </w:pPr>
            <w:r w:rsidRPr="00EC53D2">
              <w:rPr>
                <w:rFonts w:ascii="Times New Roman" w:hAnsi="Times New Roman" w:cs="Times New Roman"/>
              </w:rPr>
              <w:t>0–5000</w:t>
            </w:r>
          </w:p>
        </w:tc>
        <w:tc>
          <w:tcPr>
            <w:tcW w:w="1962" w:type="dxa"/>
          </w:tcPr>
          <w:p w14:paraId="4CE18911" w14:textId="5962B599" w:rsidR="00683A4D" w:rsidRPr="00EC53D2" w:rsidRDefault="00683A4D" w:rsidP="00683A4D">
            <w:pPr>
              <w:jc w:val="both"/>
              <w:rPr>
                <w:rFonts w:ascii="Times New Roman" w:hAnsi="Times New Roman" w:cs="Times New Roman"/>
              </w:rPr>
            </w:pPr>
            <w:r w:rsidRPr="00EC53D2">
              <w:rPr>
                <w:rFonts w:ascii="Times New Roman" w:hAnsi="Times New Roman" w:cs="Times New Roman"/>
              </w:rPr>
              <w:t>196</w:t>
            </w:r>
          </w:p>
        </w:tc>
        <w:tc>
          <w:tcPr>
            <w:tcW w:w="1681" w:type="dxa"/>
          </w:tcPr>
          <w:p w14:paraId="0354422C" w14:textId="3ADD9ADB" w:rsidR="00683A4D" w:rsidRPr="00EC53D2" w:rsidRDefault="00683A4D" w:rsidP="00683A4D">
            <w:pPr>
              <w:jc w:val="both"/>
              <w:rPr>
                <w:rFonts w:ascii="Times New Roman" w:hAnsi="Times New Roman" w:cs="Times New Roman"/>
              </w:rPr>
            </w:pPr>
            <w:r w:rsidRPr="00EC53D2">
              <w:rPr>
                <w:rFonts w:ascii="Times New Roman" w:hAnsi="Times New Roman" w:cs="Times New Roman"/>
              </w:rPr>
              <w:t>37.0</w:t>
            </w:r>
          </w:p>
        </w:tc>
        <w:tc>
          <w:tcPr>
            <w:tcW w:w="1494" w:type="dxa"/>
          </w:tcPr>
          <w:p w14:paraId="527B422A" w14:textId="628A8917" w:rsidR="00683A4D" w:rsidRPr="00EC53D2" w:rsidRDefault="00683A4D" w:rsidP="00683A4D">
            <w:pPr>
              <w:jc w:val="both"/>
              <w:rPr>
                <w:rFonts w:ascii="Times New Roman" w:hAnsi="Times New Roman" w:cs="Times New Roman"/>
              </w:rPr>
            </w:pPr>
            <w:r w:rsidRPr="00EC53D2">
              <w:rPr>
                <w:rFonts w:ascii="Times New Roman" w:hAnsi="Times New Roman" w:cs="Times New Roman"/>
              </w:rPr>
              <w:t>110.11</w:t>
            </w:r>
          </w:p>
        </w:tc>
        <w:tc>
          <w:tcPr>
            <w:tcW w:w="1307" w:type="dxa"/>
          </w:tcPr>
          <w:p w14:paraId="5DA6173B" w14:textId="77BA26C5" w:rsidR="00683A4D" w:rsidRPr="00EC53D2" w:rsidRDefault="00683A4D" w:rsidP="00683A4D">
            <w:pPr>
              <w:jc w:val="both"/>
              <w:rPr>
                <w:rFonts w:ascii="Times New Roman" w:hAnsi="Times New Roman" w:cs="Times New Roman"/>
              </w:rPr>
            </w:pPr>
            <w:r w:rsidRPr="00EC53D2">
              <w:rPr>
                <w:rFonts w:ascii="Times New Roman" w:hAnsi="Times New Roman" w:cs="Times New Roman"/>
              </w:rPr>
              <w:t>&lt;0.001</w:t>
            </w:r>
          </w:p>
        </w:tc>
      </w:tr>
      <w:tr w:rsidR="00683A4D" w:rsidRPr="00EC53D2" w14:paraId="1E08376E" w14:textId="77777777" w:rsidTr="00067194">
        <w:trPr>
          <w:trHeight w:val="119"/>
        </w:trPr>
        <w:tc>
          <w:tcPr>
            <w:tcW w:w="1715" w:type="dxa"/>
            <w:vMerge/>
          </w:tcPr>
          <w:p w14:paraId="4B181142" w14:textId="77777777" w:rsidR="00683A4D" w:rsidRPr="00EC53D2" w:rsidRDefault="00683A4D" w:rsidP="00683A4D">
            <w:pPr>
              <w:jc w:val="both"/>
              <w:rPr>
                <w:rFonts w:ascii="Times New Roman" w:hAnsi="Times New Roman" w:cs="Times New Roman"/>
              </w:rPr>
            </w:pPr>
          </w:p>
        </w:tc>
        <w:tc>
          <w:tcPr>
            <w:tcW w:w="2507" w:type="dxa"/>
          </w:tcPr>
          <w:p w14:paraId="755AEA10" w14:textId="731BD112" w:rsidR="00683A4D" w:rsidRPr="00EC53D2" w:rsidRDefault="00683A4D" w:rsidP="00683A4D">
            <w:pPr>
              <w:jc w:val="both"/>
              <w:rPr>
                <w:rFonts w:ascii="Times New Roman" w:hAnsi="Times New Roman" w:cs="Times New Roman"/>
              </w:rPr>
            </w:pPr>
            <w:r w:rsidRPr="00EC53D2">
              <w:rPr>
                <w:rFonts w:ascii="Times New Roman" w:hAnsi="Times New Roman" w:cs="Times New Roman"/>
              </w:rPr>
              <w:t>5001–15000</w:t>
            </w:r>
          </w:p>
        </w:tc>
        <w:tc>
          <w:tcPr>
            <w:tcW w:w="1962" w:type="dxa"/>
          </w:tcPr>
          <w:p w14:paraId="3BD266E4" w14:textId="1C2DFC0E" w:rsidR="00683A4D" w:rsidRPr="00EC53D2" w:rsidRDefault="00683A4D" w:rsidP="00683A4D">
            <w:pPr>
              <w:jc w:val="both"/>
              <w:rPr>
                <w:rFonts w:ascii="Times New Roman" w:hAnsi="Times New Roman" w:cs="Times New Roman"/>
              </w:rPr>
            </w:pPr>
            <w:r w:rsidRPr="00EC53D2">
              <w:rPr>
                <w:rFonts w:ascii="Times New Roman" w:hAnsi="Times New Roman" w:cs="Times New Roman"/>
              </w:rPr>
              <w:t>170</w:t>
            </w:r>
          </w:p>
        </w:tc>
        <w:tc>
          <w:tcPr>
            <w:tcW w:w="1681" w:type="dxa"/>
          </w:tcPr>
          <w:p w14:paraId="11C21511" w14:textId="387003CE" w:rsidR="00683A4D" w:rsidRPr="00EC53D2" w:rsidRDefault="00683A4D" w:rsidP="00683A4D">
            <w:pPr>
              <w:jc w:val="both"/>
              <w:rPr>
                <w:rFonts w:ascii="Times New Roman" w:hAnsi="Times New Roman" w:cs="Times New Roman"/>
              </w:rPr>
            </w:pPr>
            <w:r w:rsidRPr="00EC53D2">
              <w:rPr>
                <w:rFonts w:ascii="Times New Roman" w:hAnsi="Times New Roman" w:cs="Times New Roman"/>
              </w:rPr>
              <w:t>32.0</w:t>
            </w:r>
          </w:p>
        </w:tc>
        <w:tc>
          <w:tcPr>
            <w:tcW w:w="1494" w:type="dxa"/>
          </w:tcPr>
          <w:p w14:paraId="5DAEF7A7" w14:textId="389F41F0" w:rsidR="00683A4D" w:rsidRPr="00EC53D2" w:rsidRDefault="00683A4D" w:rsidP="00683A4D">
            <w:pPr>
              <w:jc w:val="both"/>
              <w:rPr>
                <w:rFonts w:ascii="Times New Roman" w:hAnsi="Times New Roman" w:cs="Times New Roman"/>
              </w:rPr>
            </w:pPr>
          </w:p>
        </w:tc>
        <w:tc>
          <w:tcPr>
            <w:tcW w:w="1307" w:type="dxa"/>
          </w:tcPr>
          <w:p w14:paraId="1C5FB0A4" w14:textId="77777777" w:rsidR="00683A4D" w:rsidRPr="00EC53D2" w:rsidRDefault="00683A4D" w:rsidP="00683A4D">
            <w:pPr>
              <w:jc w:val="both"/>
              <w:rPr>
                <w:rFonts w:ascii="Times New Roman" w:hAnsi="Times New Roman" w:cs="Times New Roman"/>
              </w:rPr>
            </w:pPr>
          </w:p>
        </w:tc>
      </w:tr>
      <w:tr w:rsidR="00683A4D" w:rsidRPr="00EC53D2" w14:paraId="3143CB39" w14:textId="77777777" w:rsidTr="00067194">
        <w:trPr>
          <w:trHeight w:val="119"/>
        </w:trPr>
        <w:tc>
          <w:tcPr>
            <w:tcW w:w="1715" w:type="dxa"/>
            <w:vMerge/>
          </w:tcPr>
          <w:p w14:paraId="5648B538" w14:textId="77777777" w:rsidR="00683A4D" w:rsidRPr="00EC53D2" w:rsidRDefault="00683A4D" w:rsidP="00683A4D">
            <w:pPr>
              <w:jc w:val="both"/>
              <w:rPr>
                <w:rFonts w:ascii="Times New Roman" w:hAnsi="Times New Roman" w:cs="Times New Roman"/>
              </w:rPr>
            </w:pPr>
          </w:p>
        </w:tc>
        <w:tc>
          <w:tcPr>
            <w:tcW w:w="2507" w:type="dxa"/>
          </w:tcPr>
          <w:p w14:paraId="3E5D11D7" w14:textId="3C4EC8DB" w:rsidR="00683A4D" w:rsidRPr="00EC53D2" w:rsidRDefault="00683A4D" w:rsidP="00683A4D">
            <w:pPr>
              <w:jc w:val="both"/>
              <w:rPr>
                <w:rFonts w:ascii="Times New Roman" w:hAnsi="Times New Roman" w:cs="Times New Roman"/>
              </w:rPr>
            </w:pPr>
            <w:r w:rsidRPr="00EC53D2">
              <w:rPr>
                <w:rFonts w:ascii="Times New Roman" w:hAnsi="Times New Roman" w:cs="Times New Roman"/>
              </w:rPr>
              <w:t>15001–30000</w:t>
            </w:r>
          </w:p>
        </w:tc>
        <w:tc>
          <w:tcPr>
            <w:tcW w:w="1962" w:type="dxa"/>
          </w:tcPr>
          <w:p w14:paraId="13823F8C" w14:textId="7F13B0A7" w:rsidR="00683A4D" w:rsidRPr="00EC53D2" w:rsidRDefault="00683A4D" w:rsidP="00683A4D">
            <w:pPr>
              <w:jc w:val="both"/>
              <w:rPr>
                <w:rFonts w:ascii="Times New Roman" w:hAnsi="Times New Roman" w:cs="Times New Roman"/>
              </w:rPr>
            </w:pPr>
            <w:r w:rsidRPr="00EC53D2">
              <w:rPr>
                <w:rFonts w:ascii="Times New Roman" w:hAnsi="Times New Roman" w:cs="Times New Roman"/>
              </w:rPr>
              <w:t>127</w:t>
            </w:r>
          </w:p>
        </w:tc>
        <w:tc>
          <w:tcPr>
            <w:tcW w:w="1681" w:type="dxa"/>
          </w:tcPr>
          <w:p w14:paraId="06CC9A8E" w14:textId="3B2DE76F" w:rsidR="00683A4D" w:rsidRPr="00EC53D2" w:rsidRDefault="00683A4D" w:rsidP="00683A4D">
            <w:pPr>
              <w:jc w:val="both"/>
              <w:rPr>
                <w:rFonts w:ascii="Times New Roman" w:hAnsi="Times New Roman" w:cs="Times New Roman"/>
              </w:rPr>
            </w:pPr>
            <w:r w:rsidRPr="00EC53D2">
              <w:rPr>
                <w:rFonts w:ascii="Times New Roman" w:hAnsi="Times New Roman" w:cs="Times New Roman"/>
              </w:rPr>
              <w:t>24.0</w:t>
            </w:r>
          </w:p>
        </w:tc>
        <w:tc>
          <w:tcPr>
            <w:tcW w:w="1494" w:type="dxa"/>
          </w:tcPr>
          <w:p w14:paraId="7251F201" w14:textId="50B1731F" w:rsidR="00683A4D" w:rsidRPr="00EC53D2" w:rsidRDefault="00683A4D" w:rsidP="00683A4D">
            <w:pPr>
              <w:jc w:val="both"/>
              <w:rPr>
                <w:rFonts w:ascii="Times New Roman" w:hAnsi="Times New Roman" w:cs="Times New Roman"/>
              </w:rPr>
            </w:pPr>
          </w:p>
        </w:tc>
        <w:tc>
          <w:tcPr>
            <w:tcW w:w="1307" w:type="dxa"/>
          </w:tcPr>
          <w:p w14:paraId="4CBE07F3" w14:textId="77777777" w:rsidR="00683A4D" w:rsidRPr="00EC53D2" w:rsidRDefault="00683A4D" w:rsidP="00683A4D">
            <w:pPr>
              <w:jc w:val="both"/>
              <w:rPr>
                <w:rFonts w:ascii="Times New Roman" w:hAnsi="Times New Roman" w:cs="Times New Roman"/>
              </w:rPr>
            </w:pPr>
          </w:p>
        </w:tc>
      </w:tr>
      <w:tr w:rsidR="00683A4D" w:rsidRPr="00EC53D2" w14:paraId="30D32198" w14:textId="77777777" w:rsidTr="00067194">
        <w:trPr>
          <w:trHeight w:val="157"/>
        </w:trPr>
        <w:tc>
          <w:tcPr>
            <w:tcW w:w="1715" w:type="dxa"/>
            <w:vMerge/>
          </w:tcPr>
          <w:p w14:paraId="78E19E1F" w14:textId="77777777" w:rsidR="00683A4D" w:rsidRPr="00EC53D2" w:rsidRDefault="00683A4D" w:rsidP="00683A4D">
            <w:pPr>
              <w:jc w:val="both"/>
              <w:rPr>
                <w:rFonts w:ascii="Times New Roman" w:hAnsi="Times New Roman" w:cs="Times New Roman"/>
              </w:rPr>
            </w:pPr>
          </w:p>
        </w:tc>
        <w:tc>
          <w:tcPr>
            <w:tcW w:w="2507" w:type="dxa"/>
          </w:tcPr>
          <w:p w14:paraId="027C03D3" w14:textId="6B145B8C" w:rsidR="00683A4D" w:rsidRPr="00EC53D2" w:rsidRDefault="00683A4D" w:rsidP="00683A4D">
            <w:pPr>
              <w:jc w:val="both"/>
              <w:rPr>
                <w:rFonts w:ascii="Times New Roman" w:hAnsi="Times New Roman" w:cs="Times New Roman"/>
              </w:rPr>
            </w:pPr>
            <w:r w:rsidRPr="00EC53D2">
              <w:rPr>
                <w:rFonts w:ascii="Times New Roman" w:hAnsi="Times New Roman" w:cs="Times New Roman"/>
              </w:rPr>
              <w:t>&gt;30000</w:t>
            </w:r>
          </w:p>
        </w:tc>
        <w:tc>
          <w:tcPr>
            <w:tcW w:w="1962" w:type="dxa"/>
          </w:tcPr>
          <w:p w14:paraId="6AAB732B" w14:textId="7EB771DE" w:rsidR="00683A4D" w:rsidRPr="00EC53D2" w:rsidRDefault="00683A4D" w:rsidP="00683A4D">
            <w:pPr>
              <w:jc w:val="both"/>
              <w:rPr>
                <w:rFonts w:ascii="Times New Roman" w:hAnsi="Times New Roman" w:cs="Times New Roman"/>
              </w:rPr>
            </w:pPr>
            <w:r w:rsidRPr="00EC53D2">
              <w:rPr>
                <w:rFonts w:ascii="Times New Roman" w:hAnsi="Times New Roman" w:cs="Times New Roman"/>
              </w:rPr>
              <w:t>37</w:t>
            </w:r>
          </w:p>
        </w:tc>
        <w:tc>
          <w:tcPr>
            <w:tcW w:w="1681" w:type="dxa"/>
          </w:tcPr>
          <w:p w14:paraId="4E6E1755" w14:textId="16A271D6" w:rsidR="00683A4D" w:rsidRPr="00EC53D2" w:rsidRDefault="00683A4D" w:rsidP="00683A4D">
            <w:pPr>
              <w:jc w:val="both"/>
              <w:rPr>
                <w:rFonts w:ascii="Times New Roman" w:hAnsi="Times New Roman" w:cs="Times New Roman"/>
              </w:rPr>
            </w:pPr>
            <w:r w:rsidRPr="00EC53D2">
              <w:rPr>
                <w:rFonts w:ascii="Times New Roman" w:hAnsi="Times New Roman" w:cs="Times New Roman"/>
              </w:rPr>
              <w:t>7.0</w:t>
            </w:r>
          </w:p>
        </w:tc>
        <w:tc>
          <w:tcPr>
            <w:tcW w:w="1494" w:type="dxa"/>
          </w:tcPr>
          <w:p w14:paraId="7081F922" w14:textId="429A4B6C" w:rsidR="00683A4D" w:rsidRPr="00EC53D2" w:rsidRDefault="00683A4D" w:rsidP="00683A4D">
            <w:pPr>
              <w:jc w:val="both"/>
              <w:rPr>
                <w:rFonts w:ascii="Times New Roman" w:hAnsi="Times New Roman" w:cs="Times New Roman"/>
              </w:rPr>
            </w:pPr>
          </w:p>
        </w:tc>
        <w:tc>
          <w:tcPr>
            <w:tcW w:w="1307" w:type="dxa"/>
          </w:tcPr>
          <w:p w14:paraId="453F84B6" w14:textId="77777777" w:rsidR="00683A4D" w:rsidRPr="00EC53D2" w:rsidRDefault="00683A4D" w:rsidP="00683A4D">
            <w:pPr>
              <w:jc w:val="both"/>
              <w:rPr>
                <w:rFonts w:ascii="Times New Roman" w:hAnsi="Times New Roman" w:cs="Times New Roman"/>
              </w:rPr>
            </w:pPr>
          </w:p>
        </w:tc>
      </w:tr>
      <w:tr w:rsidR="000A4805" w:rsidRPr="00EC53D2" w14:paraId="3D2F1821" w14:textId="77777777" w:rsidTr="00067194">
        <w:trPr>
          <w:trHeight w:val="157"/>
        </w:trPr>
        <w:tc>
          <w:tcPr>
            <w:tcW w:w="1715" w:type="dxa"/>
            <w:vMerge w:val="restart"/>
            <w:vAlign w:val="center"/>
          </w:tcPr>
          <w:p w14:paraId="3BAD7CDD" w14:textId="71C7A1D8" w:rsidR="000A4805" w:rsidRPr="00EC53D2" w:rsidRDefault="000A4805" w:rsidP="000A4805">
            <w:pPr>
              <w:rPr>
                <w:rFonts w:ascii="Times New Roman" w:hAnsi="Times New Roman" w:cs="Times New Roman"/>
              </w:rPr>
            </w:pPr>
            <w:r w:rsidRPr="00EC53D2">
              <w:rPr>
                <w:rFonts w:ascii="Times New Roman" w:hAnsi="Times New Roman" w:cs="Times New Roman"/>
              </w:rPr>
              <w:t>Educational Status</w:t>
            </w:r>
          </w:p>
        </w:tc>
        <w:tc>
          <w:tcPr>
            <w:tcW w:w="2507" w:type="dxa"/>
          </w:tcPr>
          <w:p w14:paraId="099C02EE" w14:textId="357FC42C" w:rsidR="000A4805" w:rsidRPr="00EC53D2" w:rsidRDefault="000A4805" w:rsidP="000A4805">
            <w:pPr>
              <w:jc w:val="both"/>
              <w:rPr>
                <w:rFonts w:ascii="Times New Roman" w:hAnsi="Times New Roman" w:cs="Times New Roman"/>
              </w:rPr>
            </w:pPr>
            <w:r w:rsidRPr="00EC53D2">
              <w:rPr>
                <w:rFonts w:ascii="Times New Roman" w:hAnsi="Times New Roman" w:cs="Times New Roman"/>
              </w:rPr>
              <w:t>Illiterate</w:t>
            </w:r>
          </w:p>
        </w:tc>
        <w:tc>
          <w:tcPr>
            <w:tcW w:w="1962" w:type="dxa"/>
          </w:tcPr>
          <w:p w14:paraId="4129135E" w14:textId="0195A5AD" w:rsidR="000A4805" w:rsidRPr="00EC53D2" w:rsidRDefault="000A4805" w:rsidP="000A4805">
            <w:pPr>
              <w:jc w:val="both"/>
              <w:rPr>
                <w:rFonts w:ascii="Times New Roman" w:hAnsi="Times New Roman" w:cs="Times New Roman"/>
              </w:rPr>
            </w:pPr>
            <w:r w:rsidRPr="00EC53D2">
              <w:rPr>
                <w:rFonts w:ascii="Times New Roman" w:hAnsi="Times New Roman" w:cs="Times New Roman"/>
              </w:rPr>
              <w:t>117</w:t>
            </w:r>
          </w:p>
        </w:tc>
        <w:tc>
          <w:tcPr>
            <w:tcW w:w="1681" w:type="dxa"/>
          </w:tcPr>
          <w:p w14:paraId="5FD8CBBF" w14:textId="6501A195" w:rsidR="000A4805" w:rsidRPr="00EC53D2" w:rsidRDefault="000A4805" w:rsidP="000A4805">
            <w:pPr>
              <w:jc w:val="both"/>
              <w:rPr>
                <w:rFonts w:ascii="Times New Roman" w:hAnsi="Times New Roman" w:cs="Times New Roman"/>
              </w:rPr>
            </w:pPr>
            <w:r w:rsidRPr="00EC53D2">
              <w:rPr>
                <w:rFonts w:ascii="Times New Roman" w:hAnsi="Times New Roman" w:cs="Times New Roman"/>
              </w:rPr>
              <w:t>22.0</w:t>
            </w:r>
          </w:p>
        </w:tc>
        <w:tc>
          <w:tcPr>
            <w:tcW w:w="1494" w:type="dxa"/>
          </w:tcPr>
          <w:p w14:paraId="1B0D4CFC" w14:textId="0AA0B2C4" w:rsidR="000A4805" w:rsidRPr="00EC53D2" w:rsidRDefault="000A4805" w:rsidP="000A4805">
            <w:pPr>
              <w:jc w:val="both"/>
              <w:rPr>
                <w:rFonts w:ascii="Times New Roman" w:hAnsi="Times New Roman" w:cs="Times New Roman"/>
              </w:rPr>
            </w:pPr>
            <w:r w:rsidRPr="00EC53D2">
              <w:rPr>
                <w:rFonts w:ascii="Times New Roman" w:hAnsi="Times New Roman" w:cs="Times New Roman"/>
              </w:rPr>
              <w:t>128.82</w:t>
            </w:r>
          </w:p>
        </w:tc>
        <w:tc>
          <w:tcPr>
            <w:tcW w:w="1307" w:type="dxa"/>
          </w:tcPr>
          <w:p w14:paraId="684F16EB" w14:textId="51F6BBC7" w:rsidR="000A4805" w:rsidRPr="00EC53D2" w:rsidRDefault="000A4805" w:rsidP="000A4805">
            <w:pPr>
              <w:jc w:val="both"/>
              <w:rPr>
                <w:rFonts w:ascii="Times New Roman" w:hAnsi="Times New Roman" w:cs="Times New Roman"/>
              </w:rPr>
            </w:pPr>
            <w:r w:rsidRPr="00EC53D2">
              <w:rPr>
                <w:rFonts w:ascii="Times New Roman" w:hAnsi="Times New Roman" w:cs="Times New Roman"/>
              </w:rPr>
              <w:t>&lt;0.001</w:t>
            </w:r>
          </w:p>
        </w:tc>
      </w:tr>
      <w:tr w:rsidR="000A4805" w:rsidRPr="00EC53D2" w14:paraId="7D66C8F9" w14:textId="77777777" w:rsidTr="00067194">
        <w:trPr>
          <w:trHeight w:val="157"/>
        </w:trPr>
        <w:tc>
          <w:tcPr>
            <w:tcW w:w="1715" w:type="dxa"/>
            <w:vMerge/>
          </w:tcPr>
          <w:p w14:paraId="35B0ED55" w14:textId="77777777" w:rsidR="000A4805" w:rsidRPr="00EC53D2" w:rsidRDefault="000A4805" w:rsidP="000A4805">
            <w:pPr>
              <w:jc w:val="both"/>
              <w:rPr>
                <w:rFonts w:ascii="Times New Roman" w:hAnsi="Times New Roman" w:cs="Times New Roman"/>
              </w:rPr>
            </w:pPr>
          </w:p>
        </w:tc>
        <w:tc>
          <w:tcPr>
            <w:tcW w:w="2507" w:type="dxa"/>
          </w:tcPr>
          <w:p w14:paraId="5F8D98CA" w14:textId="4FEC5CC9" w:rsidR="000A4805" w:rsidRPr="00EC53D2" w:rsidRDefault="000A4805" w:rsidP="000A4805">
            <w:pPr>
              <w:jc w:val="both"/>
              <w:rPr>
                <w:rFonts w:ascii="Times New Roman" w:hAnsi="Times New Roman" w:cs="Times New Roman"/>
              </w:rPr>
            </w:pPr>
            <w:r w:rsidRPr="00EC53D2">
              <w:rPr>
                <w:rFonts w:ascii="Times New Roman" w:hAnsi="Times New Roman" w:cs="Times New Roman"/>
              </w:rPr>
              <w:t>Primary</w:t>
            </w:r>
          </w:p>
        </w:tc>
        <w:tc>
          <w:tcPr>
            <w:tcW w:w="1962" w:type="dxa"/>
          </w:tcPr>
          <w:p w14:paraId="562B5F17" w14:textId="3E598642" w:rsidR="000A4805" w:rsidRPr="00EC53D2" w:rsidRDefault="000A4805" w:rsidP="000A4805">
            <w:pPr>
              <w:jc w:val="both"/>
              <w:rPr>
                <w:rFonts w:ascii="Times New Roman" w:hAnsi="Times New Roman" w:cs="Times New Roman"/>
              </w:rPr>
            </w:pPr>
            <w:r w:rsidRPr="00EC53D2">
              <w:rPr>
                <w:rFonts w:ascii="Times New Roman" w:hAnsi="Times New Roman" w:cs="Times New Roman"/>
              </w:rPr>
              <w:t>32</w:t>
            </w:r>
          </w:p>
        </w:tc>
        <w:tc>
          <w:tcPr>
            <w:tcW w:w="1681" w:type="dxa"/>
          </w:tcPr>
          <w:p w14:paraId="58EBC9CC" w14:textId="59C6164F" w:rsidR="000A4805" w:rsidRPr="00EC53D2" w:rsidRDefault="000A4805" w:rsidP="000A4805">
            <w:pPr>
              <w:jc w:val="both"/>
              <w:rPr>
                <w:rFonts w:ascii="Times New Roman" w:hAnsi="Times New Roman" w:cs="Times New Roman"/>
              </w:rPr>
            </w:pPr>
            <w:r w:rsidRPr="00EC53D2">
              <w:rPr>
                <w:rFonts w:ascii="Times New Roman" w:hAnsi="Times New Roman" w:cs="Times New Roman"/>
              </w:rPr>
              <w:t>6.0</w:t>
            </w:r>
          </w:p>
        </w:tc>
        <w:tc>
          <w:tcPr>
            <w:tcW w:w="1494" w:type="dxa"/>
          </w:tcPr>
          <w:p w14:paraId="68A98C25" w14:textId="247828C7" w:rsidR="000A4805" w:rsidRPr="00EC53D2" w:rsidRDefault="000A4805" w:rsidP="000A4805">
            <w:pPr>
              <w:jc w:val="both"/>
              <w:rPr>
                <w:rFonts w:ascii="Times New Roman" w:hAnsi="Times New Roman" w:cs="Times New Roman"/>
              </w:rPr>
            </w:pPr>
          </w:p>
        </w:tc>
        <w:tc>
          <w:tcPr>
            <w:tcW w:w="1307" w:type="dxa"/>
          </w:tcPr>
          <w:p w14:paraId="4B725D01" w14:textId="77777777" w:rsidR="000A4805" w:rsidRPr="00EC53D2" w:rsidRDefault="000A4805" w:rsidP="000A4805">
            <w:pPr>
              <w:jc w:val="both"/>
              <w:rPr>
                <w:rFonts w:ascii="Times New Roman" w:hAnsi="Times New Roman" w:cs="Times New Roman"/>
              </w:rPr>
            </w:pPr>
          </w:p>
        </w:tc>
      </w:tr>
      <w:tr w:rsidR="000A4805" w:rsidRPr="00EC53D2" w14:paraId="13AE794E" w14:textId="77777777" w:rsidTr="00067194">
        <w:trPr>
          <w:trHeight w:val="157"/>
        </w:trPr>
        <w:tc>
          <w:tcPr>
            <w:tcW w:w="1715" w:type="dxa"/>
            <w:vMerge/>
          </w:tcPr>
          <w:p w14:paraId="471AA2AC" w14:textId="77777777" w:rsidR="000A4805" w:rsidRPr="00EC53D2" w:rsidRDefault="000A4805" w:rsidP="000A4805">
            <w:pPr>
              <w:jc w:val="both"/>
              <w:rPr>
                <w:rFonts w:ascii="Times New Roman" w:hAnsi="Times New Roman" w:cs="Times New Roman"/>
              </w:rPr>
            </w:pPr>
          </w:p>
        </w:tc>
        <w:tc>
          <w:tcPr>
            <w:tcW w:w="2507" w:type="dxa"/>
          </w:tcPr>
          <w:p w14:paraId="63DF7C6B" w14:textId="1F52CC96" w:rsidR="000A4805" w:rsidRPr="00EC53D2" w:rsidRDefault="000A4805" w:rsidP="000A4805">
            <w:pPr>
              <w:jc w:val="both"/>
              <w:rPr>
                <w:rFonts w:ascii="Times New Roman" w:hAnsi="Times New Roman" w:cs="Times New Roman"/>
              </w:rPr>
            </w:pPr>
            <w:r w:rsidRPr="00EC53D2">
              <w:rPr>
                <w:rFonts w:ascii="Times New Roman" w:hAnsi="Times New Roman" w:cs="Times New Roman"/>
              </w:rPr>
              <w:t>Secondary</w:t>
            </w:r>
          </w:p>
        </w:tc>
        <w:tc>
          <w:tcPr>
            <w:tcW w:w="1962" w:type="dxa"/>
          </w:tcPr>
          <w:p w14:paraId="0FB51035" w14:textId="1FDD5762" w:rsidR="000A4805" w:rsidRPr="00EC53D2" w:rsidRDefault="000A4805" w:rsidP="000A4805">
            <w:pPr>
              <w:jc w:val="both"/>
              <w:rPr>
                <w:rFonts w:ascii="Times New Roman" w:hAnsi="Times New Roman" w:cs="Times New Roman"/>
              </w:rPr>
            </w:pPr>
            <w:r w:rsidRPr="00EC53D2">
              <w:rPr>
                <w:rFonts w:ascii="Times New Roman" w:hAnsi="Times New Roman" w:cs="Times New Roman"/>
              </w:rPr>
              <w:t>191</w:t>
            </w:r>
          </w:p>
        </w:tc>
        <w:tc>
          <w:tcPr>
            <w:tcW w:w="1681" w:type="dxa"/>
          </w:tcPr>
          <w:p w14:paraId="303B73FB" w14:textId="5F3FAE54" w:rsidR="000A4805" w:rsidRPr="00EC53D2" w:rsidRDefault="000A4805" w:rsidP="000A4805">
            <w:pPr>
              <w:jc w:val="both"/>
              <w:rPr>
                <w:rFonts w:ascii="Times New Roman" w:hAnsi="Times New Roman" w:cs="Times New Roman"/>
              </w:rPr>
            </w:pPr>
            <w:r w:rsidRPr="00EC53D2">
              <w:rPr>
                <w:rFonts w:ascii="Times New Roman" w:hAnsi="Times New Roman" w:cs="Times New Roman"/>
              </w:rPr>
              <w:t>36.0</w:t>
            </w:r>
          </w:p>
        </w:tc>
        <w:tc>
          <w:tcPr>
            <w:tcW w:w="1494" w:type="dxa"/>
          </w:tcPr>
          <w:p w14:paraId="73DD3CE5" w14:textId="30C10E12" w:rsidR="000A4805" w:rsidRPr="00EC53D2" w:rsidRDefault="000A4805" w:rsidP="000A4805">
            <w:pPr>
              <w:jc w:val="both"/>
              <w:rPr>
                <w:rFonts w:ascii="Times New Roman" w:hAnsi="Times New Roman" w:cs="Times New Roman"/>
              </w:rPr>
            </w:pPr>
          </w:p>
        </w:tc>
        <w:tc>
          <w:tcPr>
            <w:tcW w:w="1307" w:type="dxa"/>
          </w:tcPr>
          <w:p w14:paraId="09761FCC" w14:textId="77777777" w:rsidR="000A4805" w:rsidRPr="00EC53D2" w:rsidRDefault="000A4805" w:rsidP="000A4805">
            <w:pPr>
              <w:jc w:val="both"/>
              <w:rPr>
                <w:rFonts w:ascii="Times New Roman" w:hAnsi="Times New Roman" w:cs="Times New Roman"/>
              </w:rPr>
            </w:pPr>
          </w:p>
        </w:tc>
      </w:tr>
      <w:tr w:rsidR="000A4805" w:rsidRPr="00EC53D2" w14:paraId="29E2A80A" w14:textId="77777777" w:rsidTr="00067194">
        <w:trPr>
          <w:trHeight w:val="157"/>
        </w:trPr>
        <w:tc>
          <w:tcPr>
            <w:tcW w:w="1715" w:type="dxa"/>
            <w:vMerge/>
          </w:tcPr>
          <w:p w14:paraId="590B7507" w14:textId="77777777" w:rsidR="000A4805" w:rsidRPr="00EC53D2" w:rsidRDefault="000A4805" w:rsidP="000A4805">
            <w:pPr>
              <w:jc w:val="both"/>
              <w:rPr>
                <w:rFonts w:ascii="Times New Roman" w:hAnsi="Times New Roman" w:cs="Times New Roman"/>
              </w:rPr>
            </w:pPr>
          </w:p>
        </w:tc>
        <w:tc>
          <w:tcPr>
            <w:tcW w:w="2507" w:type="dxa"/>
          </w:tcPr>
          <w:p w14:paraId="27957805" w14:textId="290FB03F" w:rsidR="000A4805" w:rsidRPr="00EC53D2" w:rsidRDefault="000A4805" w:rsidP="000A4805">
            <w:pPr>
              <w:jc w:val="both"/>
              <w:rPr>
                <w:rFonts w:ascii="Times New Roman" w:hAnsi="Times New Roman" w:cs="Times New Roman"/>
              </w:rPr>
            </w:pPr>
            <w:r w:rsidRPr="00EC53D2">
              <w:rPr>
                <w:rFonts w:ascii="Times New Roman" w:hAnsi="Times New Roman" w:cs="Times New Roman"/>
              </w:rPr>
              <w:t>University</w:t>
            </w:r>
          </w:p>
        </w:tc>
        <w:tc>
          <w:tcPr>
            <w:tcW w:w="1962" w:type="dxa"/>
          </w:tcPr>
          <w:p w14:paraId="2C2A0F91" w14:textId="6222F2E4" w:rsidR="000A4805" w:rsidRPr="00EC53D2" w:rsidRDefault="000A4805" w:rsidP="000A4805">
            <w:pPr>
              <w:jc w:val="both"/>
              <w:rPr>
                <w:rFonts w:ascii="Times New Roman" w:hAnsi="Times New Roman" w:cs="Times New Roman"/>
              </w:rPr>
            </w:pPr>
            <w:r w:rsidRPr="00EC53D2">
              <w:rPr>
                <w:rFonts w:ascii="Times New Roman" w:hAnsi="Times New Roman" w:cs="Times New Roman"/>
              </w:rPr>
              <w:t>190</w:t>
            </w:r>
          </w:p>
        </w:tc>
        <w:tc>
          <w:tcPr>
            <w:tcW w:w="1681" w:type="dxa"/>
          </w:tcPr>
          <w:p w14:paraId="64A3E68B" w14:textId="5DD8C8B2" w:rsidR="000A4805" w:rsidRPr="00EC53D2" w:rsidRDefault="000A4805" w:rsidP="000A4805">
            <w:pPr>
              <w:jc w:val="both"/>
              <w:rPr>
                <w:rFonts w:ascii="Times New Roman" w:hAnsi="Times New Roman" w:cs="Times New Roman"/>
              </w:rPr>
            </w:pPr>
            <w:r w:rsidRPr="00EC53D2">
              <w:rPr>
                <w:rFonts w:ascii="Times New Roman" w:hAnsi="Times New Roman" w:cs="Times New Roman"/>
              </w:rPr>
              <w:t>36.0</w:t>
            </w:r>
          </w:p>
        </w:tc>
        <w:tc>
          <w:tcPr>
            <w:tcW w:w="1494" w:type="dxa"/>
          </w:tcPr>
          <w:p w14:paraId="7ED05D86" w14:textId="79458FB8" w:rsidR="000A4805" w:rsidRPr="00EC53D2" w:rsidRDefault="000A4805" w:rsidP="000A4805">
            <w:pPr>
              <w:jc w:val="both"/>
              <w:rPr>
                <w:rFonts w:ascii="Times New Roman" w:hAnsi="Times New Roman" w:cs="Times New Roman"/>
              </w:rPr>
            </w:pPr>
          </w:p>
        </w:tc>
        <w:tc>
          <w:tcPr>
            <w:tcW w:w="1307" w:type="dxa"/>
          </w:tcPr>
          <w:p w14:paraId="1AA0E7A0" w14:textId="77777777" w:rsidR="000A4805" w:rsidRPr="00EC53D2" w:rsidRDefault="000A4805" w:rsidP="000A4805">
            <w:pPr>
              <w:jc w:val="both"/>
              <w:rPr>
                <w:rFonts w:ascii="Times New Roman" w:hAnsi="Times New Roman" w:cs="Times New Roman"/>
              </w:rPr>
            </w:pPr>
          </w:p>
        </w:tc>
      </w:tr>
      <w:tr w:rsidR="000C01FD" w:rsidRPr="00EC53D2" w14:paraId="78084877" w14:textId="77777777" w:rsidTr="00067194">
        <w:trPr>
          <w:trHeight w:val="157"/>
        </w:trPr>
        <w:tc>
          <w:tcPr>
            <w:tcW w:w="1715" w:type="dxa"/>
            <w:vMerge w:val="restart"/>
            <w:vAlign w:val="center"/>
          </w:tcPr>
          <w:p w14:paraId="36DBB8CB" w14:textId="72B5B4C5" w:rsidR="000C01FD" w:rsidRPr="00EC53D2" w:rsidRDefault="000C01FD" w:rsidP="000C01FD">
            <w:pPr>
              <w:rPr>
                <w:rFonts w:ascii="Times New Roman" w:hAnsi="Times New Roman" w:cs="Times New Roman"/>
              </w:rPr>
            </w:pPr>
            <w:r w:rsidRPr="00EC53D2">
              <w:rPr>
                <w:rFonts w:ascii="Times New Roman" w:hAnsi="Times New Roman" w:cs="Times New Roman"/>
              </w:rPr>
              <w:t>Occupation</w:t>
            </w:r>
          </w:p>
        </w:tc>
        <w:tc>
          <w:tcPr>
            <w:tcW w:w="2507" w:type="dxa"/>
          </w:tcPr>
          <w:p w14:paraId="264D0C34" w14:textId="641932F7" w:rsidR="000C01FD" w:rsidRPr="00EC53D2" w:rsidRDefault="000C01FD" w:rsidP="000C01FD">
            <w:pPr>
              <w:jc w:val="both"/>
              <w:rPr>
                <w:rFonts w:ascii="Times New Roman" w:hAnsi="Times New Roman" w:cs="Times New Roman"/>
              </w:rPr>
            </w:pPr>
            <w:r w:rsidRPr="00EC53D2">
              <w:rPr>
                <w:rFonts w:ascii="Times New Roman" w:hAnsi="Times New Roman" w:cs="Times New Roman"/>
              </w:rPr>
              <w:t>Employed</w:t>
            </w:r>
          </w:p>
        </w:tc>
        <w:tc>
          <w:tcPr>
            <w:tcW w:w="1962" w:type="dxa"/>
          </w:tcPr>
          <w:p w14:paraId="74D9F32A" w14:textId="35C511D6" w:rsidR="000C01FD" w:rsidRPr="00EC53D2" w:rsidRDefault="000C01FD" w:rsidP="000C01FD">
            <w:pPr>
              <w:jc w:val="both"/>
              <w:rPr>
                <w:rFonts w:ascii="Times New Roman" w:hAnsi="Times New Roman" w:cs="Times New Roman"/>
              </w:rPr>
            </w:pPr>
            <w:r w:rsidRPr="00EC53D2">
              <w:rPr>
                <w:rFonts w:ascii="Times New Roman" w:hAnsi="Times New Roman" w:cs="Times New Roman"/>
              </w:rPr>
              <w:t>334</w:t>
            </w:r>
          </w:p>
        </w:tc>
        <w:tc>
          <w:tcPr>
            <w:tcW w:w="1681" w:type="dxa"/>
          </w:tcPr>
          <w:p w14:paraId="68528F03" w14:textId="644A0BFE" w:rsidR="000C01FD" w:rsidRPr="00EC53D2" w:rsidRDefault="000C01FD" w:rsidP="000C01FD">
            <w:pPr>
              <w:jc w:val="both"/>
              <w:rPr>
                <w:rFonts w:ascii="Times New Roman" w:hAnsi="Times New Roman" w:cs="Times New Roman"/>
              </w:rPr>
            </w:pPr>
            <w:r w:rsidRPr="00EC53D2">
              <w:rPr>
                <w:rFonts w:ascii="Times New Roman" w:hAnsi="Times New Roman" w:cs="Times New Roman"/>
              </w:rPr>
              <w:t>63.0</w:t>
            </w:r>
          </w:p>
        </w:tc>
        <w:tc>
          <w:tcPr>
            <w:tcW w:w="1494" w:type="dxa"/>
          </w:tcPr>
          <w:p w14:paraId="42455090" w14:textId="07BAF388" w:rsidR="000C01FD" w:rsidRPr="00EC53D2" w:rsidRDefault="000C01FD" w:rsidP="000C01FD">
            <w:pPr>
              <w:jc w:val="both"/>
              <w:rPr>
                <w:rFonts w:ascii="Times New Roman" w:hAnsi="Times New Roman" w:cs="Times New Roman"/>
              </w:rPr>
            </w:pPr>
            <w:r w:rsidRPr="00EC53D2">
              <w:rPr>
                <w:rFonts w:ascii="Times New Roman" w:hAnsi="Times New Roman" w:cs="Times New Roman"/>
              </w:rPr>
              <w:t>286.29</w:t>
            </w:r>
          </w:p>
        </w:tc>
        <w:tc>
          <w:tcPr>
            <w:tcW w:w="1307" w:type="dxa"/>
          </w:tcPr>
          <w:p w14:paraId="7830826B" w14:textId="2A1D5D3B" w:rsidR="000C01FD" w:rsidRPr="00EC53D2" w:rsidRDefault="000C01FD" w:rsidP="000C01FD">
            <w:pPr>
              <w:jc w:val="both"/>
              <w:rPr>
                <w:rFonts w:ascii="Times New Roman" w:hAnsi="Times New Roman" w:cs="Times New Roman"/>
              </w:rPr>
            </w:pPr>
            <w:r w:rsidRPr="00EC53D2">
              <w:rPr>
                <w:rFonts w:ascii="Times New Roman" w:hAnsi="Times New Roman" w:cs="Times New Roman"/>
              </w:rPr>
              <w:t>&lt;0.001</w:t>
            </w:r>
          </w:p>
        </w:tc>
      </w:tr>
      <w:tr w:rsidR="000C01FD" w:rsidRPr="00EC53D2" w14:paraId="281ED1FB" w14:textId="77777777" w:rsidTr="00067194">
        <w:trPr>
          <w:trHeight w:val="157"/>
        </w:trPr>
        <w:tc>
          <w:tcPr>
            <w:tcW w:w="1715" w:type="dxa"/>
            <w:vMerge/>
          </w:tcPr>
          <w:p w14:paraId="35458CA5" w14:textId="77777777" w:rsidR="000C01FD" w:rsidRPr="00EC53D2" w:rsidRDefault="000C01FD" w:rsidP="000C01FD">
            <w:pPr>
              <w:jc w:val="both"/>
              <w:rPr>
                <w:rFonts w:ascii="Times New Roman" w:hAnsi="Times New Roman" w:cs="Times New Roman"/>
              </w:rPr>
            </w:pPr>
          </w:p>
        </w:tc>
        <w:tc>
          <w:tcPr>
            <w:tcW w:w="2507" w:type="dxa"/>
          </w:tcPr>
          <w:p w14:paraId="483158B4" w14:textId="5A024106" w:rsidR="000C01FD" w:rsidRPr="00EC53D2" w:rsidRDefault="000C01FD" w:rsidP="000C01FD">
            <w:pPr>
              <w:jc w:val="both"/>
              <w:rPr>
                <w:rFonts w:ascii="Times New Roman" w:hAnsi="Times New Roman" w:cs="Times New Roman"/>
              </w:rPr>
            </w:pPr>
            <w:r w:rsidRPr="00EC53D2">
              <w:rPr>
                <w:rFonts w:ascii="Times New Roman" w:hAnsi="Times New Roman" w:cs="Times New Roman"/>
              </w:rPr>
              <w:t>Unemployed</w:t>
            </w:r>
          </w:p>
        </w:tc>
        <w:tc>
          <w:tcPr>
            <w:tcW w:w="1962" w:type="dxa"/>
          </w:tcPr>
          <w:p w14:paraId="2824C52A" w14:textId="4DF25EA0" w:rsidR="000C01FD" w:rsidRPr="00EC53D2" w:rsidRDefault="000C01FD" w:rsidP="000C01FD">
            <w:pPr>
              <w:jc w:val="both"/>
              <w:rPr>
                <w:rFonts w:ascii="Times New Roman" w:hAnsi="Times New Roman" w:cs="Times New Roman"/>
              </w:rPr>
            </w:pPr>
            <w:r w:rsidRPr="00EC53D2">
              <w:rPr>
                <w:rFonts w:ascii="Times New Roman" w:hAnsi="Times New Roman" w:cs="Times New Roman"/>
              </w:rPr>
              <w:t>180</w:t>
            </w:r>
          </w:p>
        </w:tc>
        <w:tc>
          <w:tcPr>
            <w:tcW w:w="1681" w:type="dxa"/>
          </w:tcPr>
          <w:p w14:paraId="25AC9295" w14:textId="3608EE36" w:rsidR="000C01FD" w:rsidRPr="00EC53D2" w:rsidRDefault="000C01FD" w:rsidP="000C01FD">
            <w:pPr>
              <w:jc w:val="both"/>
              <w:rPr>
                <w:rFonts w:ascii="Times New Roman" w:hAnsi="Times New Roman" w:cs="Times New Roman"/>
              </w:rPr>
            </w:pPr>
            <w:r w:rsidRPr="00EC53D2">
              <w:rPr>
                <w:rFonts w:ascii="Times New Roman" w:hAnsi="Times New Roman" w:cs="Times New Roman"/>
              </w:rPr>
              <w:t>34.0</w:t>
            </w:r>
          </w:p>
        </w:tc>
        <w:tc>
          <w:tcPr>
            <w:tcW w:w="1494" w:type="dxa"/>
          </w:tcPr>
          <w:p w14:paraId="68802C0D" w14:textId="0FD84B7A" w:rsidR="000C01FD" w:rsidRPr="00EC53D2" w:rsidRDefault="000C01FD" w:rsidP="000C01FD">
            <w:pPr>
              <w:jc w:val="both"/>
              <w:rPr>
                <w:rFonts w:ascii="Times New Roman" w:hAnsi="Times New Roman" w:cs="Times New Roman"/>
              </w:rPr>
            </w:pPr>
          </w:p>
        </w:tc>
        <w:tc>
          <w:tcPr>
            <w:tcW w:w="1307" w:type="dxa"/>
          </w:tcPr>
          <w:p w14:paraId="1826EB55" w14:textId="77777777" w:rsidR="000C01FD" w:rsidRPr="00EC53D2" w:rsidRDefault="000C01FD" w:rsidP="000C01FD">
            <w:pPr>
              <w:jc w:val="both"/>
              <w:rPr>
                <w:rFonts w:ascii="Times New Roman" w:hAnsi="Times New Roman" w:cs="Times New Roman"/>
              </w:rPr>
            </w:pPr>
          </w:p>
        </w:tc>
      </w:tr>
      <w:tr w:rsidR="000C01FD" w:rsidRPr="00EC53D2" w14:paraId="22841956" w14:textId="77777777" w:rsidTr="00067194">
        <w:trPr>
          <w:trHeight w:val="157"/>
        </w:trPr>
        <w:tc>
          <w:tcPr>
            <w:tcW w:w="1715" w:type="dxa"/>
            <w:vMerge/>
          </w:tcPr>
          <w:p w14:paraId="6C5415A2" w14:textId="77777777" w:rsidR="000C01FD" w:rsidRPr="00EC53D2" w:rsidRDefault="000C01FD" w:rsidP="000C01FD">
            <w:pPr>
              <w:jc w:val="both"/>
              <w:rPr>
                <w:rFonts w:ascii="Times New Roman" w:hAnsi="Times New Roman" w:cs="Times New Roman"/>
              </w:rPr>
            </w:pPr>
          </w:p>
        </w:tc>
        <w:tc>
          <w:tcPr>
            <w:tcW w:w="2507" w:type="dxa"/>
          </w:tcPr>
          <w:p w14:paraId="70CEEB20" w14:textId="0FA756FA" w:rsidR="000C01FD" w:rsidRPr="00EC53D2" w:rsidRDefault="000C01FD" w:rsidP="000C01FD">
            <w:pPr>
              <w:jc w:val="both"/>
              <w:rPr>
                <w:rFonts w:ascii="Times New Roman" w:hAnsi="Times New Roman" w:cs="Times New Roman"/>
              </w:rPr>
            </w:pPr>
            <w:r w:rsidRPr="00EC53D2">
              <w:rPr>
                <w:rFonts w:ascii="Times New Roman" w:hAnsi="Times New Roman" w:cs="Times New Roman"/>
              </w:rPr>
              <w:t>Retired</w:t>
            </w:r>
          </w:p>
        </w:tc>
        <w:tc>
          <w:tcPr>
            <w:tcW w:w="1962" w:type="dxa"/>
          </w:tcPr>
          <w:p w14:paraId="4D1F0D74" w14:textId="6C6E28CA" w:rsidR="000C01FD" w:rsidRPr="00EC53D2" w:rsidRDefault="000C01FD" w:rsidP="000C01FD">
            <w:pPr>
              <w:jc w:val="both"/>
              <w:rPr>
                <w:rFonts w:ascii="Times New Roman" w:hAnsi="Times New Roman" w:cs="Times New Roman"/>
              </w:rPr>
            </w:pPr>
            <w:r w:rsidRPr="00EC53D2">
              <w:rPr>
                <w:rFonts w:ascii="Times New Roman" w:hAnsi="Times New Roman" w:cs="Times New Roman"/>
              </w:rPr>
              <w:t>16</w:t>
            </w:r>
          </w:p>
        </w:tc>
        <w:tc>
          <w:tcPr>
            <w:tcW w:w="1681" w:type="dxa"/>
          </w:tcPr>
          <w:p w14:paraId="3B540B75" w14:textId="3186C30A" w:rsidR="000C01FD" w:rsidRPr="00EC53D2" w:rsidRDefault="000C01FD" w:rsidP="000C01FD">
            <w:pPr>
              <w:jc w:val="both"/>
              <w:rPr>
                <w:rFonts w:ascii="Times New Roman" w:hAnsi="Times New Roman" w:cs="Times New Roman"/>
              </w:rPr>
            </w:pPr>
            <w:r w:rsidRPr="00EC53D2">
              <w:rPr>
                <w:rFonts w:ascii="Times New Roman" w:hAnsi="Times New Roman" w:cs="Times New Roman"/>
              </w:rPr>
              <w:t>3.0</w:t>
            </w:r>
          </w:p>
        </w:tc>
        <w:tc>
          <w:tcPr>
            <w:tcW w:w="1494" w:type="dxa"/>
          </w:tcPr>
          <w:p w14:paraId="22486C0F" w14:textId="77D44489" w:rsidR="000C01FD" w:rsidRPr="00EC53D2" w:rsidRDefault="000C01FD" w:rsidP="000C01FD">
            <w:pPr>
              <w:jc w:val="both"/>
              <w:rPr>
                <w:rFonts w:ascii="Times New Roman" w:hAnsi="Times New Roman" w:cs="Times New Roman"/>
              </w:rPr>
            </w:pPr>
          </w:p>
        </w:tc>
        <w:tc>
          <w:tcPr>
            <w:tcW w:w="1307" w:type="dxa"/>
          </w:tcPr>
          <w:p w14:paraId="4F664C25" w14:textId="77777777" w:rsidR="000C01FD" w:rsidRPr="00EC53D2" w:rsidRDefault="000C01FD" w:rsidP="000C01FD">
            <w:pPr>
              <w:jc w:val="both"/>
              <w:rPr>
                <w:rFonts w:ascii="Times New Roman" w:hAnsi="Times New Roman" w:cs="Times New Roman"/>
              </w:rPr>
            </w:pPr>
          </w:p>
        </w:tc>
      </w:tr>
      <w:bookmarkEnd w:id="1"/>
    </w:tbl>
    <w:p w14:paraId="1B2F1128" w14:textId="77777777" w:rsidR="00C97A39" w:rsidRPr="00EC53D2" w:rsidRDefault="00C97A39" w:rsidP="006B348E">
      <w:pPr>
        <w:spacing w:after="0" w:line="240" w:lineRule="auto"/>
        <w:jc w:val="both"/>
        <w:rPr>
          <w:rFonts w:ascii="Times New Roman" w:hAnsi="Times New Roman" w:cs="Times New Roman"/>
          <w:bCs/>
          <w:color w:val="3333FF"/>
        </w:rPr>
      </w:pPr>
    </w:p>
    <w:p w14:paraId="4015305D" w14:textId="72057413" w:rsidR="0018503F" w:rsidRPr="00EC53D2" w:rsidRDefault="007023E2" w:rsidP="006B348E">
      <w:pPr>
        <w:spacing w:after="0" w:line="240" w:lineRule="auto"/>
        <w:jc w:val="both"/>
        <w:rPr>
          <w:rFonts w:ascii="Times New Roman" w:hAnsi="Times New Roman" w:cs="Times New Roman"/>
          <w:bCs/>
          <w:color w:val="000000" w:themeColor="text1"/>
        </w:rPr>
      </w:pPr>
      <w:r w:rsidRPr="00EC53D2">
        <w:rPr>
          <w:rFonts w:ascii="Times New Roman" w:hAnsi="Times New Roman" w:cs="Times New Roman"/>
          <w:bCs/>
          <w:color w:val="000000" w:themeColor="text1"/>
        </w:rPr>
        <w:t>Chi-square tests were used to assess whether the observed distributions of sociodemographic variables differed significantly across categories</w:t>
      </w:r>
      <w:r w:rsidR="002D0550" w:rsidRPr="00EC53D2">
        <w:rPr>
          <w:rFonts w:ascii="Times New Roman" w:hAnsi="Times New Roman" w:cs="Times New Roman"/>
          <w:bCs/>
          <w:color w:val="000000" w:themeColor="text1"/>
        </w:rPr>
        <w:t xml:space="preserve">. </w:t>
      </w:r>
    </w:p>
    <w:p w14:paraId="7DDB2687" w14:textId="77777777" w:rsidR="00FE7C79" w:rsidRPr="00EC53D2" w:rsidRDefault="00FE7C79" w:rsidP="006B348E">
      <w:pPr>
        <w:spacing w:after="0" w:line="240" w:lineRule="auto"/>
        <w:jc w:val="both"/>
        <w:rPr>
          <w:rFonts w:ascii="Times New Roman" w:hAnsi="Times New Roman" w:cs="Times New Roman"/>
          <w:bCs/>
          <w:color w:val="000000" w:themeColor="text1"/>
        </w:rPr>
      </w:pPr>
    </w:p>
    <w:p w14:paraId="150EDF8D" w14:textId="08F09628" w:rsidR="00032D52" w:rsidRPr="00EC53D2" w:rsidRDefault="0018503F" w:rsidP="006B348E">
      <w:pPr>
        <w:spacing w:after="0" w:line="240" w:lineRule="auto"/>
        <w:jc w:val="both"/>
        <w:rPr>
          <w:rFonts w:ascii="Times New Roman" w:hAnsi="Times New Roman" w:cs="Times New Roman"/>
          <w:bCs/>
          <w:color w:val="0000FF"/>
        </w:rPr>
      </w:pPr>
      <w:r w:rsidRPr="00EC53D2">
        <w:rPr>
          <w:rFonts w:ascii="Times New Roman" w:eastAsiaTheme="majorEastAsia" w:hAnsi="Times New Roman" w:cs="Times New Roman"/>
          <w:bCs/>
          <w:color w:val="0000FF"/>
        </w:rPr>
        <w:t xml:space="preserve">Table 3. </w:t>
      </w:r>
      <w:r w:rsidRPr="00EC53D2">
        <w:rPr>
          <w:rFonts w:ascii="Times New Roman" w:hAnsi="Times New Roman" w:cs="Times New Roman"/>
          <w:bCs/>
          <w:color w:val="0000FF"/>
        </w:rPr>
        <w:t>Prevalence and frequency of self-medication among respondents (n = 530)</w:t>
      </w:r>
    </w:p>
    <w:tbl>
      <w:tblPr>
        <w:tblStyle w:val="TableGrid"/>
        <w:tblW w:w="10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2456"/>
        <w:gridCol w:w="2596"/>
        <w:gridCol w:w="2361"/>
      </w:tblGrid>
      <w:tr w:rsidR="002E02A8" w:rsidRPr="00EC53D2" w14:paraId="77CBC16A" w14:textId="2B3963B1" w:rsidTr="00FE7C79">
        <w:trPr>
          <w:trHeight w:val="414"/>
        </w:trPr>
        <w:tc>
          <w:tcPr>
            <w:tcW w:w="3192" w:type="dxa"/>
          </w:tcPr>
          <w:p w14:paraId="30F522FA" w14:textId="3CE22CED" w:rsidR="002E02A8" w:rsidRPr="009E61B4" w:rsidRDefault="002E02A8" w:rsidP="002E02A8">
            <w:pPr>
              <w:jc w:val="both"/>
              <w:rPr>
                <w:rFonts w:ascii="Times New Roman" w:hAnsi="Times New Roman" w:cs="Times New Roman"/>
                <w:b/>
                <w:bCs/>
                <w:color w:val="0000FF"/>
              </w:rPr>
            </w:pPr>
            <w:r w:rsidRPr="009E61B4">
              <w:rPr>
                <w:rFonts w:ascii="Times New Roman" w:hAnsi="Times New Roman" w:cs="Times New Roman"/>
                <w:b/>
                <w:bCs/>
                <w:color w:val="0000FF"/>
              </w:rPr>
              <w:t>Frequency of self-medication</w:t>
            </w:r>
          </w:p>
        </w:tc>
        <w:tc>
          <w:tcPr>
            <w:tcW w:w="2456" w:type="dxa"/>
          </w:tcPr>
          <w:p w14:paraId="474BADCE" w14:textId="45BAFCB2" w:rsidR="002E02A8" w:rsidRPr="009E61B4" w:rsidRDefault="002E02A8" w:rsidP="002E02A8">
            <w:pPr>
              <w:jc w:val="both"/>
              <w:rPr>
                <w:rFonts w:ascii="Times New Roman" w:hAnsi="Times New Roman" w:cs="Times New Roman"/>
                <w:b/>
                <w:bCs/>
                <w:color w:val="0000FF"/>
              </w:rPr>
            </w:pPr>
            <w:r w:rsidRPr="009E61B4">
              <w:rPr>
                <w:rFonts w:ascii="Times New Roman" w:hAnsi="Times New Roman" w:cs="Times New Roman"/>
                <w:b/>
                <w:bCs/>
                <w:color w:val="0000FF"/>
              </w:rPr>
              <w:t>Urban (n=281) n (%)</w:t>
            </w:r>
          </w:p>
        </w:tc>
        <w:tc>
          <w:tcPr>
            <w:tcW w:w="2596" w:type="dxa"/>
          </w:tcPr>
          <w:p w14:paraId="3D57A1A3" w14:textId="265B4F1D" w:rsidR="002E02A8" w:rsidRPr="009E61B4" w:rsidRDefault="002E02A8" w:rsidP="002E02A8">
            <w:pPr>
              <w:jc w:val="both"/>
              <w:rPr>
                <w:rFonts w:ascii="Times New Roman" w:hAnsi="Times New Roman" w:cs="Times New Roman"/>
                <w:b/>
                <w:bCs/>
                <w:color w:val="0000FF"/>
              </w:rPr>
            </w:pPr>
            <w:r w:rsidRPr="009E61B4">
              <w:rPr>
                <w:rFonts w:ascii="Times New Roman" w:hAnsi="Times New Roman" w:cs="Times New Roman"/>
                <w:b/>
                <w:bCs/>
                <w:color w:val="0000FF"/>
              </w:rPr>
              <w:t>Rural (n=249) n (%)</w:t>
            </w:r>
          </w:p>
        </w:tc>
        <w:tc>
          <w:tcPr>
            <w:tcW w:w="2361" w:type="dxa"/>
          </w:tcPr>
          <w:p w14:paraId="53B24D53" w14:textId="74ADD259" w:rsidR="002E02A8" w:rsidRPr="009E61B4" w:rsidRDefault="002E02A8" w:rsidP="002E02A8">
            <w:pPr>
              <w:jc w:val="both"/>
              <w:rPr>
                <w:rFonts w:ascii="Times New Roman" w:hAnsi="Times New Roman" w:cs="Times New Roman"/>
                <w:b/>
                <w:bCs/>
                <w:color w:val="0000FF"/>
              </w:rPr>
            </w:pPr>
            <w:r w:rsidRPr="009E61B4">
              <w:rPr>
                <w:rFonts w:ascii="Times New Roman" w:hAnsi="Times New Roman" w:cs="Times New Roman"/>
                <w:b/>
                <w:bCs/>
                <w:color w:val="0000FF"/>
              </w:rPr>
              <w:t>Total (N=530) n (%)</w:t>
            </w:r>
          </w:p>
        </w:tc>
      </w:tr>
      <w:tr w:rsidR="002E02A8" w:rsidRPr="00EC53D2" w14:paraId="6AEAB46B" w14:textId="7A4D42B0" w:rsidTr="00FE7C79">
        <w:trPr>
          <w:trHeight w:val="426"/>
        </w:trPr>
        <w:tc>
          <w:tcPr>
            <w:tcW w:w="3192" w:type="dxa"/>
          </w:tcPr>
          <w:p w14:paraId="5EC7F72B" w14:textId="78CFB28C" w:rsidR="002E02A8" w:rsidRPr="009E61B4" w:rsidRDefault="002E02A8" w:rsidP="002E02A8">
            <w:pPr>
              <w:jc w:val="both"/>
              <w:rPr>
                <w:rFonts w:ascii="Times New Roman" w:hAnsi="Times New Roman" w:cs="Times New Roman"/>
                <w:color w:val="0000FF"/>
              </w:rPr>
            </w:pPr>
            <w:r w:rsidRPr="009E61B4">
              <w:rPr>
                <w:rFonts w:ascii="Times New Roman" w:hAnsi="Times New Roman" w:cs="Times New Roman"/>
                <w:color w:val="0000FF"/>
              </w:rPr>
              <w:t>Weekly</w:t>
            </w:r>
          </w:p>
        </w:tc>
        <w:tc>
          <w:tcPr>
            <w:tcW w:w="2456" w:type="dxa"/>
          </w:tcPr>
          <w:p w14:paraId="3862099C" w14:textId="01A1C314" w:rsidR="002E02A8" w:rsidRPr="009E61B4" w:rsidRDefault="002E02A8" w:rsidP="002E02A8">
            <w:pPr>
              <w:jc w:val="both"/>
              <w:rPr>
                <w:rFonts w:ascii="Times New Roman" w:hAnsi="Times New Roman" w:cs="Times New Roman"/>
                <w:color w:val="0000FF"/>
              </w:rPr>
            </w:pPr>
            <w:r w:rsidRPr="009E61B4">
              <w:rPr>
                <w:rFonts w:ascii="Times New Roman" w:hAnsi="Times New Roman" w:cs="Times New Roman"/>
                <w:color w:val="0000FF"/>
              </w:rPr>
              <w:t>171 (60.9)</w:t>
            </w:r>
          </w:p>
        </w:tc>
        <w:tc>
          <w:tcPr>
            <w:tcW w:w="2596" w:type="dxa"/>
          </w:tcPr>
          <w:p w14:paraId="2417691C" w14:textId="74B84169" w:rsidR="002E02A8" w:rsidRPr="009E61B4" w:rsidRDefault="002E02A8" w:rsidP="002E02A8">
            <w:pPr>
              <w:jc w:val="both"/>
              <w:rPr>
                <w:rFonts w:ascii="Times New Roman" w:hAnsi="Times New Roman" w:cs="Times New Roman"/>
                <w:color w:val="0000FF"/>
              </w:rPr>
            </w:pPr>
            <w:r w:rsidRPr="009E61B4">
              <w:rPr>
                <w:rFonts w:ascii="Times New Roman" w:hAnsi="Times New Roman" w:cs="Times New Roman"/>
                <w:color w:val="0000FF"/>
              </w:rPr>
              <w:t>78 (31.3)</w:t>
            </w:r>
          </w:p>
        </w:tc>
        <w:tc>
          <w:tcPr>
            <w:tcW w:w="2361" w:type="dxa"/>
          </w:tcPr>
          <w:p w14:paraId="01045C77" w14:textId="64203CD1" w:rsidR="002E02A8" w:rsidRPr="009E61B4" w:rsidRDefault="002E02A8" w:rsidP="002E02A8">
            <w:pPr>
              <w:jc w:val="both"/>
              <w:rPr>
                <w:rFonts w:ascii="Times New Roman" w:hAnsi="Times New Roman" w:cs="Times New Roman"/>
                <w:color w:val="0000FF"/>
              </w:rPr>
            </w:pPr>
            <w:r w:rsidRPr="009E61B4">
              <w:rPr>
                <w:rFonts w:ascii="Times New Roman" w:hAnsi="Times New Roman" w:cs="Times New Roman"/>
                <w:color w:val="0000FF"/>
              </w:rPr>
              <w:t>249 (47.0)</w:t>
            </w:r>
          </w:p>
        </w:tc>
      </w:tr>
      <w:tr w:rsidR="002E02A8" w:rsidRPr="00EC53D2" w14:paraId="24B46859" w14:textId="1F5C04E5" w:rsidTr="00FE7C79">
        <w:trPr>
          <w:trHeight w:val="414"/>
        </w:trPr>
        <w:tc>
          <w:tcPr>
            <w:tcW w:w="3192" w:type="dxa"/>
          </w:tcPr>
          <w:p w14:paraId="49186488" w14:textId="3BB08CA3" w:rsidR="002E02A8" w:rsidRPr="009E61B4" w:rsidRDefault="002E02A8" w:rsidP="002E02A8">
            <w:pPr>
              <w:jc w:val="both"/>
              <w:rPr>
                <w:rFonts w:ascii="Times New Roman" w:hAnsi="Times New Roman" w:cs="Times New Roman"/>
                <w:color w:val="0000FF"/>
              </w:rPr>
            </w:pPr>
            <w:r w:rsidRPr="009E61B4">
              <w:rPr>
                <w:rFonts w:ascii="Times New Roman" w:hAnsi="Times New Roman" w:cs="Times New Roman"/>
                <w:color w:val="0000FF"/>
              </w:rPr>
              <w:t>Monthly</w:t>
            </w:r>
          </w:p>
        </w:tc>
        <w:tc>
          <w:tcPr>
            <w:tcW w:w="2456" w:type="dxa"/>
          </w:tcPr>
          <w:p w14:paraId="47D59264" w14:textId="26016595" w:rsidR="002E02A8" w:rsidRPr="009E61B4" w:rsidRDefault="002E02A8" w:rsidP="002E02A8">
            <w:pPr>
              <w:jc w:val="both"/>
              <w:rPr>
                <w:rFonts w:ascii="Times New Roman" w:hAnsi="Times New Roman" w:cs="Times New Roman"/>
                <w:color w:val="0000FF"/>
              </w:rPr>
            </w:pPr>
            <w:r w:rsidRPr="009E61B4">
              <w:rPr>
                <w:rFonts w:ascii="Times New Roman" w:hAnsi="Times New Roman" w:cs="Times New Roman"/>
                <w:color w:val="0000FF"/>
              </w:rPr>
              <w:t>95 (33.8)</w:t>
            </w:r>
          </w:p>
        </w:tc>
        <w:tc>
          <w:tcPr>
            <w:tcW w:w="2596" w:type="dxa"/>
          </w:tcPr>
          <w:p w14:paraId="675DF020" w14:textId="67DAF293" w:rsidR="002E02A8" w:rsidRPr="009E61B4" w:rsidRDefault="002E02A8" w:rsidP="002E02A8">
            <w:pPr>
              <w:jc w:val="both"/>
              <w:rPr>
                <w:rFonts w:ascii="Times New Roman" w:hAnsi="Times New Roman" w:cs="Times New Roman"/>
                <w:color w:val="0000FF"/>
              </w:rPr>
            </w:pPr>
            <w:r w:rsidRPr="009E61B4">
              <w:rPr>
                <w:rFonts w:ascii="Times New Roman" w:hAnsi="Times New Roman" w:cs="Times New Roman"/>
                <w:color w:val="0000FF"/>
              </w:rPr>
              <w:t>138 (55.4)</w:t>
            </w:r>
          </w:p>
        </w:tc>
        <w:tc>
          <w:tcPr>
            <w:tcW w:w="2361" w:type="dxa"/>
          </w:tcPr>
          <w:p w14:paraId="2834797F" w14:textId="67349C15" w:rsidR="002E02A8" w:rsidRPr="009E61B4" w:rsidRDefault="002E02A8" w:rsidP="002E02A8">
            <w:pPr>
              <w:jc w:val="both"/>
              <w:rPr>
                <w:rFonts w:ascii="Times New Roman" w:hAnsi="Times New Roman" w:cs="Times New Roman"/>
                <w:color w:val="0000FF"/>
              </w:rPr>
            </w:pPr>
            <w:r w:rsidRPr="009E61B4">
              <w:rPr>
                <w:rFonts w:ascii="Times New Roman" w:hAnsi="Times New Roman" w:cs="Times New Roman"/>
                <w:color w:val="0000FF"/>
              </w:rPr>
              <w:t>233 (44.0)</w:t>
            </w:r>
          </w:p>
        </w:tc>
      </w:tr>
      <w:tr w:rsidR="002E02A8" w:rsidRPr="00EC53D2" w14:paraId="395E966D" w14:textId="0025B3E0" w:rsidTr="00FE7C79">
        <w:trPr>
          <w:trHeight w:val="414"/>
        </w:trPr>
        <w:tc>
          <w:tcPr>
            <w:tcW w:w="3192" w:type="dxa"/>
          </w:tcPr>
          <w:p w14:paraId="3813EFA1" w14:textId="168486C4" w:rsidR="002E02A8" w:rsidRPr="009E61B4" w:rsidRDefault="002E02A8" w:rsidP="002E02A8">
            <w:pPr>
              <w:jc w:val="both"/>
              <w:rPr>
                <w:rFonts w:ascii="Times New Roman" w:hAnsi="Times New Roman" w:cs="Times New Roman"/>
                <w:color w:val="0000FF"/>
              </w:rPr>
            </w:pPr>
            <w:r w:rsidRPr="009E61B4">
              <w:rPr>
                <w:rFonts w:ascii="Times New Roman" w:hAnsi="Times New Roman" w:cs="Times New Roman"/>
                <w:color w:val="0000FF"/>
              </w:rPr>
              <w:t>≥ Once every 6 months</w:t>
            </w:r>
          </w:p>
        </w:tc>
        <w:tc>
          <w:tcPr>
            <w:tcW w:w="2456" w:type="dxa"/>
          </w:tcPr>
          <w:p w14:paraId="6FDCD066" w14:textId="36252FBF" w:rsidR="002E02A8" w:rsidRPr="009E61B4" w:rsidRDefault="002E02A8" w:rsidP="002E02A8">
            <w:pPr>
              <w:jc w:val="both"/>
              <w:rPr>
                <w:rFonts w:ascii="Times New Roman" w:hAnsi="Times New Roman" w:cs="Times New Roman"/>
                <w:color w:val="0000FF"/>
              </w:rPr>
            </w:pPr>
            <w:r w:rsidRPr="009E61B4">
              <w:rPr>
                <w:rFonts w:ascii="Times New Roman" w:hAnsi="Times New Roman" w:cs="Times New Roman"/>
                <w:color w:val="0000FF"/>
              </w:rPr>
              <w:t>15 (5.3)</w:t>
            </w:r>
          </w:p>
        </w:tc>
        <w:tc>
          <w:tcPr>
            <w:tcW w:w="2596" w:type="dxa"/>
          </w:tcPr>
          <w:p w14:paraId="0533BBE4" w14:textId="29185DB6" w:rsidR="002E02A8" w:rsidRPr="009E61B4" w:rsidRDefault="002E02A8" w:rsidP="002E02A8">
            <w:pPr>
              <w:jc w:val="both"/>
              <w:rPr>
                <w:rFonts w:ascii="Times New Roman" w:hAnsi="Times New Roman" w:cs="Times New Roman"/>
                <w:color w:val="0000FF"/>
              </w:rPr>
            </w:pPr>
            <w:r w:rsidRPr="009E61B4">
              <w:rPr>
                <w:rFonts w:ascii="Times New Roman" w:hAnsi="Times New Roman" w:cs="Times New Roman"/>
                <w:color w:val="0000FF"/>
              </w:rPr>
              <w:t>33 (13.3)</w:t>
            </w:r>
          </w:p>
        </w:tc>
        <w:tc>
          <w:tcPr>
            <w:tcW w:w="2361" w:type="dxa"/>
          </w:tcPr>
          <w:p w14:paraId="41725315" w14:textId="0C26CA5C" w:rsidR="002E02A8" w:rsidRPr="009E61B4" w:rsidRDefault="002E02A8" w:rsidP="002E02A8">
            <w:pPr>
              <w:jc w:val="both"/>
              <w:rPr>
                <w:rFonts w:ascii="Times New Roman" w:hAnsi="Times New Roman" w:cs="Times New Roman"/>
                <w:color w:val="0000FF"/>
              </w:rPr>
            </w:pPr>
            <w:r w:rsidRPr="009E61B4">
              <w:rPr>
                <w:rFonts w:ascii="Times New Roman" w:hAnsi="Times New Roman" w:cs="Times New Roman"/>
                <w:color w:val="0000FF"/>
              </w:rPr>
              <w:t>48 (9.0)</w:t>
            </w:r>
          </w:p>
        </w:tc>
      </w:tr>
      <w:tr w:rsidR="002E02A8" w:rsidRPr="00EC53D2" w14:paraId="0550541F" w14:textId="59EA1F63" w:rsidTr="00FE7C79">
        <w:trPr>
          <w:trHeight w:val="426"/>
        </w:trPr>
        <w:tc>
          <w:tcPr>
            <w:tcW w:w="3192" w:type="dxa"/>
          </w:tcPr>
          <w:p w14:paraId="7CBDA44B" w14:textId="453775F4" w:rsidR="002E02A8" w:rsidRPr="009E61B4" w:rsidRDefault="002E02A8" w:rsidP="002E02A8">
            <w:pPr>
              <w:jc w:val="both"/>
              <w:rPr>
                <w:rFonts w:ascii="Times New Roman" w:hAnsi="Times New Roman" w:cs="Times New Roman"/>
                <w:color w:val="0000FF"/>
              </w:rPr>
            </w:pPr>
            <w:r w:rsidRPr="009E61B4">
              <w:rPr>
                <w:rFonts w:ascii="Times New Roman" w:hAnsi="Times New Roman" w:cs="Times New Roman"/>
                <w:color w:val="0000FF"/>
              </w:rPr>
              <w:t>Total</w:t>
            </w:r>
          </w:p>
        </w:tc>
        <w:tc>
          <w:tcPr>
            <w:tcW w:w="2456" w:type="dxa"/>
          </w:tcPr>
          <w:p w14:paraId="1254C324" w14:textId="6447FB8C" w:rsidR="002E02A8" w:rsidRPr="009E61B4" w:rsidRDefault="002E02A8" w:rsidP="002E02A8">
            <w:pPr>
              <w:jc w:val="both"/>
              <w:rPr>
                <w:rFonts w:ascii="Times New Roman" w:hAnsi="Times New Roman" w:cs="Times New Roman"/>
                <w:color w:val="0000FF"/>
              </w:rPr>
            </w:pPr>
            <w:r w:rsidRPr="009E61B4">
              <w:rPr>
                <w:rFonts w:ascii="Times New Roman" w:hAnsi="Times New Roman" w:cs="Times New Roman"/>
                <w:color w:val="0000FF"/>
              </w:rPr>
              <w:t>281 (100.0)</w:t>
            </w:r>
          </w:p>
        </w:tc>
        <w:tc>
          <w:tcPr>
            <w:tcW w:w="2596" w:type="dxa"/>
          </w:tcPr>
          <w:p w14:paraId="58CEF326" w14:textId="2412A0CD" w:rsidR="002E02A8" w:rsidRPr="009E61B4" w:rsidRDefault="002E02A8" w:rsidP="002E02A8">
            <w:pPr>
              <w:jc w:val="both"/>
              <w:rPr>
                <w:rFonts w:ascii="Times New Roman" w:hAnsi="Times New Roman" w:cs="Times New Roman"/>
                <w:color w:val="0000FF"/>
              </w:rPr>
            </w:pPr>
            <w:r w:rsidRPr="009E61B4">
              <w:rPr>
                <w:rFonts w:ascii="Times New Roman" w:hAnsi="Times New Roman" w:cs="Times New Roman"/>
                <w:color w:val="0000FF"/>
              </w:rPr>
              <w:t>249 (100.0)</w:t>
            </w:r>
          </w:p>
        </w:tc>
        <w:tc>
          <w:tcPr>
            <w:tcW w:w="2361" w:type="dxa"/>
          </w:tcPr>
          <w:p w14:paraId="05C305D7" w14:textId="624D5045" w:rsidR="002E02A8" w:rsidRPr="009E61B4" w:rsidRDefault="002E02A8" w:rsidP="002E02A8">
            <w:pPr>
              <w:jc w:val="both"/>
              <w:rPr>
                <w:rFonts w:ascii="Times New Roman" w:hAnsi="Times New Roman" w:cs="Times New Roman"/>
                <w:color w:val="0000FF"/>
              </w:rPr>
            </w:pPr>
            <w:r w:rsidRPr="009E61B4">
              <w:rPr>
                <w:rFonts w:ascii="Times New Roman" w:hAnsi="Times New Roman" w:cs="Times New Roman"/>
                <w:color w:val="0000FF"/>
              </w:rPr>
              <w:t>530 (100.0)</w:t>
            </w:r>
          </w:p>
        </w:tc>
      </w:tr>
      <w:tr w:rsidR="00D95226" w:rsidRPr="00EC53D2" w14:paraId="2687B600" w14:textId="77777777" w:rsidTr="00242088">
        <w:trPr>
          <w:trHeight w:val="426"/>
        </w:trPr>
        <w:tc>
          <w:tcPr>
            <w:tcW w:w="10605" w:type="dxa"/>
            <w:gridSpan w:val="4"/>
          </w:tcPr>
          <w:p w14:paraId="26AF1A11" w14:textId="46F7B5E8" w:rsidR="00D95226" w:rsidRPr="00D95226" w:rsidRDefault="00D95226" w:rsidP="002E02A8">
            <w:pPr>
              <w:jc w:val="both"/>
              <w:rPr>
                <w:rFonts w:ascii="Times New Roman" w:hAnsi="Times New Roman" w:cs="Times New Roman"/>
                <w:color w:val="0000FF"/>
              </w:rPr>
            </w:pPr>
            <w:r w:rsidRPr="00D95226">
              <w:rPr>
                <w:rFonts w:ascii="Times New Roman" w:hAnsi="Times New Roman" w:cs="Times New Roman"/>
                <w:color w:val="0000FF"/>
              </w:rPr>
              <w:t xml:space="preserve">Chi-square test for residence vs frequency: χ² = 47.66, </w:t>
            </w:r>
            <w:proofErr w:type="spellStart"/>
            <w:r w:rsidRPr="00D95226">
              <w:rPr>
                <w:rFonts w:ascii="Times New Roman" w:hAnsi="Times New Roman" w:cs="Times New Roman"/>
                <w:color w:val="0000FF"/>
              </w:rPr>
              <w:t>df</w:t>
            </w:r>
            <w:proofErr w:type="spellEnd"/>
            <w:r w:rsidRPr="00D95226">
              <w:rPr>
                <w:rFonts w:ascii="Times New Roman" w:hAnsi="Times New Roman" w:cs="Times New Roman"/>
                <w:color w:val="0000FF"/>
              </w:rPr>
              <w:t xml:space="preserve"> = 2, p &lt; 0.001.</w:t>
            </w:r>
          </w:p>
        </w:tc>
      </w:tr>
    </w:tbl>
    <w:p w14:paraId="7F732691" w14:textId="7E2C9F3B" w:rsidR="004F0A0F" w:rsidRDefault="0042355C" w:rsidP="006B348E">
      <w:pPr>
        <w:spacing w:after="0" w:line="240" w:lineRule="auto"/>
        <w:jc w:val="both"/>
        <w:rPr>
          <w:rFonts w:ascii="Times New Roman" w:hAnsi="Times New Roman" w:cs="Times New Roman"/>
          <w:color w:val="0000FF"/>
        </w:rPr>
      </w:pPr>
      <w:bookmarkStart w:id="2" w:name="_Hlk217031322"/>
      <w:r w:rsidRPr="0042355C">
        <w:rPr>
          <w:rFonts w:ascii="Times New Roman" w:hAnsi="Times New Roman" w:cs="Times New Roman"/>
          <w:color w:val="0000FF"/>
        </w:rPr>
        <w:lastRenderedPageBreak/>
        <w:t>Self-medication was common within the preceding six months. Weekly use was more prevalent among urban respondents, while monthly and ≥ once every six months use was more frequent in rural areas (Table 3; χ² = 47.66, p &lt; 0.001).</w:t>
      </w:r>
    </w:p>
    <w:p w14:paraId="1AEE06B0" w14:textId="77777777" w:rsidR="0042355C" w:rsidRPr="00175CEA" w:rsidRDefault="0042355C" w:rsidP="006B348E">
      <w:pPr>
        <w:spacing w:after="0" w:line="240" w:lineRule="auto"/>
        <w:jc w:val="both"/>
        <w:rPr>
          <w:rFonts w:ascii="Times New Roman" w:hAnsi="Times New Roman" w:cs="Times New Roman"/>
          <w:color w:val="000000" w:themeColor="text1"/>
        </w:rPr>
      </w:pPr>
    </w:p>
    <w:p w14:paraId="40FCF9DA" w14:textId="0A499652" w:rsidR="00071884" w:rsidRPr="00175CEA" w:rsidRDefault="00866328" w:rsidP="006B348E">
      <w:pPr>
        <w:spacing w:after="0" w:line="240" w:lineRule="auto"/>
        <w:jc w:val="both"/>
        <w:rPr>
          <w:rFonts w:ascii="Times New Roman" w:hAnsi="Times New Roman" w:cs="Times New Roman"/>
          <w:color w:val="000000" w:themeColor="text1"/>
        </w:rPr>
      </w:pPr>
      <w:r w:rsidRPr="00175CEA">
        <w:rPr>
          <w:rFonts w:ascii="Times New Roman" w:hAnsi="Times New Roman" w:cs="Times New Roman"/>
          <w:color w:val="000000" w:themeColor="text1"/>
        </w:rPr>
        <w:t xml:space="preserve">Table </w:t>
      </w:r>
      <w:r w:rsidR="00067194" w:rsidRPr="00175CEA">
        <w:rPr>
          <w:rFonts w:ascii="Times New Roman" w:hAnsi="Times New Roman" w:cs="Times New Roman"/>
          <w:color w:val="000000" w:themeColor="text1"/>
        </w:rPr>
        <w:t>4</w:t>
      </w:r>
      <w:r w:rsidRPr="00175CEA">
        <w:rPr>
          <w:rFonts w:ascii="Times New Roman" w:hAnsi="Times New Roman" w:cs="Times New Roman"/>
          <w:color w:val="000000" w:themeColor="text1"/>
        </w:rPr>
        <w:t xml:space="preserve">. Framework of the </w:t>
      </w:r>
      <w:r w:rsidR="00383566" w:rsidRPr="00175CEA">
        <w:rPr>
          <w:rFonts w:ascii="Times New Roman" w:hAnsi="Times New Roman" w:cs="Times New Roman"/>
          <w:color w:val="000000" w:themeColor="text1"/>
        </w:rPr>
        <w:t>s</w:t>
      </w:r>
      <w:r w:rsidR="00EA1948" w:rsidRPr="00175CEA">
        <w:rPr>
          <w:rFonts w:ascii="Times New Roman" w:hAnsi="Times New Roman" w:cs="Times New Roman"/>
          <w:color w:val="000000" w:themeColor="text1"/>
        </w:rPr>
        <w:t>elf-medication</w:t>
      </w:r>
      <w:r w:rsidRPr="00175CEA">
        <w:rPr>
          <w:rFonts w:ascii="Times New Roman" w:hAnsi="Times New Roman" w:cs="Times New Roman"/>
          <w:color w:val="000000" w:themeColor="text1"/>
        </w:rPr>
        <w:t xml:space="preserve"> Decision Process among Respondents</w:t>
      </w:r>
    </w:p>
    <w:tbl>
      <w:tblPr>
        <w:tblStyle w:val="TableGrid"/>
        <w:tblW w:w="10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3917"/>
        <w:gridCol w:w="5657"/>
      </w:tblGrid>
      <w:tr w:rsidR="00FA5897" w:rsidRPr="00175CEA" w14:paraId="551E42C0" w14:textId="77777777" w:rsidTr="00057D56">
        <w:trPr>
          <w:trHeight w:val="328"/>
        </w:trPr>
        <w:tc>
          <w:tcPr>
            <w:tcW w:w="1425" w:type="dxa"/>
          </w:tcPr>
          <w:p w14:paraId="09875477" w14:textId="037CCD58" w:rsidR="00FA5897" w:rsidRPr="00175CEA" w:rsidRDefault="00FA5897" w:rsidP="00FA5897">
            <w:pPr>
              <w:jc w:val="both"/>
              <w:rPr>
                <w:rFonts w:ascii="Times New Roman" w:hAnsi="Times New Roman" w:cs="Times New Roman"/>
                <w:b/>
                <w:bCs/>
                <w:color w:val="000000" w:themeColor="text1"/>
              </w:rPr>
            </w:pPr>
            <w:r w:rsidRPr="00175CEA">
              <w:rPr>
                <w:rFonts w:ascii="Times New Roman" w:hAnsi="Times New Roman" w:cs="Times New Roman"/>
                <w:b/>
                <w:bCs/>
              </w:rPr>
              <w:t>Step</w:t>
            </w:r>
          </w:p>
        </w:tc>
        <w:tc>
          <w:tcPr>
            <w:tcW w:w="3917" w:type="dxa"/>
          </w:tcPr>
          <w:p w14:paraId="27C00C2F" w14:textId="65DE57F2" w:rsidR="00FA5897" w:rsidRPr="00175CEA" w:rsidRDefault="00FA5897" w:rsidP="00FA5897">
            <w:pPr>
              <w:jc w:val="both"/>
              <w:rPr>
                <w:rFonts w:ascii="Times New Roman" w:hAnsi="Times New Roman" w:cs="Times New Roman"/>
                <w:b/>
                <w:bCs/>
                <w:color w:val="000000" w:themeColor="text1"/>
              </w:rPr>
            </w:pPr>
            <w:r w:rsidRPr="00175CEA">
              <w:rPr>
                <w:rFonts w:ascii="Times New Roman" w:hAnsi="Times New Roman" w:cs="Times New Roman"/>
                <w:b/>
                <w:bCs/>
              </w:rPr>
              <w:t>Component</w:t>
            </w:r>
          </w:p>
        </w:tc>
        <w:tc>
          <w:tcPr>
            <w:tcW w:w="5657" w:type="dxa"/>
          </w:tcPr>
          <w:p w14:paraId="0DA02E56" w14:textId="6FCC9925" w:rsidR="00FA5897" w:rsidRPr="00175CEA" w:rsidRDefault="00FA5897" w:rsidP="00FA5897">
            <w:pPr>
              <w:jc w:val="both"/>
              <w:rPr>
                <w:rFonts w:ascii="Times New Roman" w:hAnsi="Times New Roman" w:cs="Times New Roman"/>
                <w:b/>
                <w:bCs/>
                <w:color w:val="000000" w:themeColor="text1"/>
              </w:rPr>
            </w:pPr>
            <w:r w:rsidRPr="00175CEA">
              <w:rPr>
                <w:rFonts w:ascii="Times New Roman" w:hAnsi="Times New Roman" w:cs="Times New Roman"/>
                <w:b/>
                <w:bCs/>
              </w:rPr>
              <w:t>Key Contributor</w:t>
            </w:r>
          </w:p>
        </w:tc>
      </w:tr>
      <w:tr w:rsidR="00FA5897" w:rsidRPr="00175CEA" w14:paraId="105F14D8" w14:textId="77777777" w:rsidTr="00057D56">
        <w:trPr>
          <w:trHeight w:val="344"/>
        </w:trPr>
        <w:tc>
          <w:tcPr>
            <w:tcW w:w="1425" w:type="dxa"/>
          </w:tcPr>
          <w:p w14:paraId="04F3B1B8" w14:textId="56387AF1" w:rsidR="00FA5897" w:rsidRPr="00175CEA" w:rsidRDefault="00FA5897" w:rsidP="00FA5897">
            <w:pPr>
              <w:jc w:val="both"/>
              <w:rPr>
                <w:rFonts w:ascii="Times New Roman" w:hAnsi="Times New Roman" w:cs="Times New Roman"/>
                <w:color w:val="000000" w:themeColor="text1"/>
              </w:rPr>
            </w:pPr>
            <w:r w:rsidRPr="00175CEA">
              <w:rPr>
                <w:rFonts w:ascii="Times New Roman" w:hAnsi="Times New Roman" w:cs="Times New Roman"/>
              </w:rPr>
              <w:t>Step 1</w:t>
            </w:r>
          </w:p>
        </w:tc>
        <w:tc>
          <w:tcPr>
            <w:tcW w:w="3917" w:type="dxa"/>
          </w:tcPr>
          <w:p w14:paraId="13F59DE3" w14:textId="4FD14DA9" w:rsidR="00FA5897" w:rsidRPr="00175CEA" w:rsidRDefault="00FA5897" w:rsidP="00FA5897">
            <w:pPr>
              <w:jc w:val="both"/>
              <w:rPr>
                <w:rFonts w:ascii="Times New Roman" w:hAnsi="Times New Roman" w:cs="Times New Roman"/>
                <w:color w:val="000000" w:themeColor="text1"/>
              </w:rPr>
            </w:pPr>
            <w:r w:rsidRPr="00175CEA">
              <w:rPr>
                <w:rFonts w:ascii="Times New Roman" w:hAnsi="Times New Roman" w:cs="Times New Roman"/>
              </w:rPr>
              <w:t>Frequency of practice</w:t>
            </w:r>
          </w:p>
        </w:tc>
        <w:tc>
          <w:tcPr>
            <w:tcW w:w="5657" w:type="dxa"/>
          </w:tcPr>
          <w:p w14:paraId="50B6D03A" w14:textId="2B9D2BA1" w:rsidR="00FA5897" w:rsidRPr="00175CEA" w:rsidRDefault="00FA5897" w:rsidP="00FA5897">
            <w:pPr>
              <w:jc w:val="both"/>
              <w:rPr>
                <w:rFonts w:ascii="Times New Roman" w:hAnsi="Times New Roman" w:cs="Times New Roman"/>
                <w:color w:val="000000" w:themeColor="text1"/>
              </w:rPr>
            </w:pPr>
            <w:r w:rsidRPr="00175CEA">
              <w:rPr>
                <w:rFonts w:ascii="Times New Roman" w:hAnsi="Times New Roman" w:cs="Times New Roman"/>
              </w:rPr>
              <w:t>Regular use (weekly or monthly)</w:t>
            </w:r>
          </w:p>
        </w:tc>
      </w:tr>
      <w:tr w:rsidR="00FA5897" w:rsidRPr="00175CEA" w14:paraId="5288E108" w14:textId="77777777" w:rsidTr="00057D56">
        <w:trPr>
          <w:trHeight w:val="328"/>
        </w:trPr>
        <w:tc>
          <w:tcPr>
            <w:tcW w:w="1425" w:type="dxa"/>
          </w:tcPr>
          <w:p w14:paraId="2AAF58CB" w14:textId="479F9428" w:rsidR="00FA5897" w:rsidRPr="00175CEA" w:rsidRDefault="00FA5897" w:rsidP="00FA5897">
            <w:pPr>
              <w:jc w:val="both"/>
              <w:rPr>
                <w:rFonts w:ascii="Times New Roman" w:hAnsi="Times New Roman" w:cs="Times New Roman"/>
                <w:color w:val="000000" w:themeColor="text1"/>
              </w:rPr>
            </w:pPr>
            <w:r w:rsidRPr="00175CEA">
              <w:rPr>
                <w:rFonts w:ascii="Times New Roman" w:hAnsi="Times New Roman" w:cs="Times New Roman"/>
              </w:rPr>
              <w:t>Step 2</w:t>
            </w:r>
          </w:p>
        </w:tc>
        <w:tc>
          <w:tcPr>
            <w:tcW w:w="3917" w:type="dxa"/>
          </w:tcPr>
          <w:p w14:paraId="23EE31AC" w14:textId="690DE929" w:rsidR="00FA5897" w:rsidRPr="00175CEA" w:rsidRDefault="00FA5897" w:rsidP="00FA5897">
            <w:pPr>
              <w:jc w:val="both"/>
              <w:rPr>
                <w:rFonts w:ascii="Times New Roman" w:hAnsi="Times New Roman" w:cs="Times New Roman"/>
                <w:color w:val="000000" w:themeColor="text1"/>
              </w:rPr>
            </w:pPr>
            <w:r w:rsidRPr="00175CEA">
              <w:rPr>
                <w:rFonts w:ascii="Times New Roman" w:hAnsi="Times New Roman" w:cs="Times New Roman"/>
              </w:rPr>
              <w:t xml:space="preserve">Motivation for </w:t>
            </w:r>
            <w:r w:rsidR="00EA1948" w:rsidRPr="00175CEA">
              <w:rPr>
                <w:rFonts w:ascii="Times New Roman" w:hAnsi="Times New Roman" w:cs="Times New Roman"/>
              </w:rPr>
              <w:t>self-medication</w:t>
            </w:r>
          </w:p>
        </w:tc>
        <w:tc>
          <w:tcPr>
            <w:tcW w:w="5657" w:type="dxa"/>
          </w:tcPr>
          <w:p w14:paraId="03F469BB" w14:textId="48D305F6" w:rsidR="00FA5897" w:rsidRPr="00175CEA" w:rsidRDefault="00FA5897" w:rsidP="00FA5897">
            <w:pPr>
              <w:jc w:val="both"/>
              <w:rPr>
                <w:rFonts w:ascii="Times New Roman" w:hAnsi="Times New Roman" w:cs="Times New Roman"/>
                <w:color w:val="000000" w:themeColor="text1"/>
              </w:rPr>
            </w:pPr>
            <w:r w:rsidRPr="00175CEA">
              <w:rPr>
                <w:rFonts w:ascii="Times New Roman" w:hAnsi="Times New Roman" w:cs="Times New Roman"/>
              </w:rPr>
              <w:t>Perceived minor or simple illness</w:t>
            </w:r>
          </w:p>
        </w:tc>
      </w:tr>
      <w:tr w:rsidR="00FA5897" w:rsidRPr="00175CEA" w14:paraId="552B9356" w14:textId="77777777" w:rsidTr="00057D56">
        <w:trPr>
          <w:trHeight w:val="328"/>
        </w:trPr>
        <w:tc>
          <w:tcPr>
            <w:tcW w:w="1425" w:type="dxa"/>
          </w:tcPr>
          <w:p w14:paraId="682DCF4A" w14:textId="58BF3C40" w:rsidR="00FA5897" w:rsidRPr="00175CEA" w:rsidRDefault="00FA5897" w:rsidP="00FA5897">
            <w:pPr>
              <w:jc w:val="both"/>
              <w:rPr>
                <w:rFonts w:ascii="Times New Roman" w:hAnsi="Times New Roman" w:cs="Times New Roman"/>
                <w:color w:val="000000" w:themeColor="text1"/>
              </w:rPr>
            </w:pPr>
            <w:r w:rsidRPr="00175CEA">
              <w:rPr>
                <w:rFonts w:ascii="Times New Roman" w:hAnsi="Times New Roman" w:cs="Times New Roman"/>
              </w:rPr>
              <w:t>Step 3</w:t>
            </w:r>
          </w:p>
        </w:tc>
        <w:tc>
          <w:tcPr>
            <w:tcW w:w="3917" w:type="dxa"/>
          </w:tcPr>
          <w:p w14:paraId="40762C7D" w14:textId="3B773BD1" w:rsidR="00FA5897" w:rsidRPr="00175CEA" w:rsidRDefault="00FA5897" w:rsidP="00FA5897">
            <w:pPr>
              <w:jc w:val="both"/>
              <w:rPr>
                <w:rFonts w:ascii="Times New Roman" w:hAnsi="Times New Roman" w:cs="Times New Roman"/>
                <w:color w:val="000000" w:themeColor="text1"/>
              </w:rPr>
            </w:pPr>
            <w:r w:rsidRPr="00175CEA">
              <w:rPr>
                <w:rFonts w:ascii="Times New Roman" w:hAnsi="Times New Roman" w:cs="Times New Roman"/>
              </w:rPr>
              <w:t>Information pathway</w:t>
            </w:r>
          </w:p>
        </w:tc>
        <w:tc>
          <w:tcPr>
            <w:tcW w:w="5657" w:type="dxa"/>
          </w:tcPr>
          <w:p w14:paraId="109592C0" w14:textId="62F9A2A1" w:rsidR="00FA5897" w:rsidRPr="00175CEA" w:rsidRDefault="00FA5897" w:rsidP="00FA5897">
            <w:pPr>
              <w:jc w:val="both"/>
              <w:rPr>
                <w:rFonts w:ascii="Times New Roman" w:hAnsi="Times New Roman" w:cs="Times New Roman"/>
                <w:color w:val="000000" w:themeColor="text1"/>
              </w:rPr>
            </w:pPr>
            <w:r w:rsidRPr="00175CEA">
              <w:rPr>
                <w:rFonts w:ascii="Times New Roman" w:hAnsi="Times New Roman" w:cs="Times New Roman"/>
              </w:rPr>
              <w:t>Retail pharmacy</w:t>
            </w:r>
          </w:p>
        </w:tc>
      </w:tr>
      <w:tr w:rsidR="00FA5897" w:rsidRPr="00175CEA" w14:paraId="2FFBA776" w14:textId="77777777" w:rsidTr="00057D56">
        <w:trPr>
          <w:trHeight w:val="344"/>
        </w:trPr>
        <w:tc>
          <w:tcPr>
            <w:tcW w:w="1425" w:type="dxa"/>
          </w:tcPr>
          <w:p w14:paraId="03C01DF1" w14:textId="430976CB" w:rsidR="00FA5897" w:rsidRPr="00175CEA" w:rsidRDefault="00FA5897" w:rsidP="00FA5897">
            <w:pPr>
              <w:jc w:val="both"/>
              <w:rPr>
                <w:rFonts w:ascii="Times New Roman" w:hAnsi="Times New Roman" w:cs="Times New Roman"/>
                <w:color w:val="000000" w:themeColor="text1"/>
              </w:rPr>
            </w:pPr>
            <w:r w:rsidRPr="00175CEA">
              <w:rPr>
                <w:rFonts w:ascii="Times New Roman" w:hAnsi="Times New Roman" w:cs="Times New Roman"/>
              </w:rPr>
              <w:t>Step 4</w:t>
            </w:r>
          </w:p>
        </w:tc>
        <w:tc>
          <w:tcPr>
            <w:tcW w:w="3917" w:type="dxa"/>
          </w:tcPr>
          <w:p w14:paraId="7C4955E7" w14:textId="5A3B1105" w:rsidR="00FA5897" w:rsidRPr="00175CEA" w:rsidRDefault="00FA5897" w:rsidP="00FA5897">
            <w:pPr>
              <w:jc w:val="both"/>
              <w:rPr>
                <w:rFonts w:ascii="Times New Roman" w:hAnsi="Times New Roman" w:cs="Times New Roman"/>
                <w:color w:val="000000" w:themeColor="text1"/>
              </w:rPr>
            </w:pPr>
            <w:r w:rsidRPr="00175CEA">
              <w:rPr>
                <w:rFonts w:ascii="Times New Roman" w:hAnsi="Times New Roman" w:cs="Times New Roman"/>
              </w:rPr>
              <w:t>Reinforcing factor</w:t>
            </w:r>
          </w:p>
        </w:tc>
        <w:tc>
          <w:tcPr>
            <w:tcW w:w="5657" w:type="dxa"/>
          </w:tcPr>
          <w:p w14:paraId="24717754" w14:textId="468C3322" w:rsidR="00FA5897" w:rsidRPr="00175CEA" w:rsidRDefault="00FA5897" w:rsidP="00FA5897">
            <w:pPr>
              <w:jc w:val="both"/>
              <w:rPr>
                <w:rFonts w:ascii="Times New Roman" w:hAnsi="Times New Roman" w:cs="Times New Roman"/>
                <w:color w:val="000000" w:themeColor="text1"/>
              </w:rPr>
            </w:pPr>
            <w:r w:rsidRPr="00175CEA">
              <w:rPr>
                <w:rFonts w:ascii="Times New Roman" w:hAnsi="Times New Roman" w:cs="Times New Roman"/>
              </w:rPr>
              <w:t>Previous experience with similar conditions</w:t>
            </w:r>
          </w:p>
        </w:tc>
      </w:tr>
    </w:tbl>
    <w:bookmarkEnd w:id="2"/>
    <w:p w14:paraId="5E89F07C" w14:textId="08DC732B" w:rsidR="003708C5" w:rsidRPr="00175CEA" w:rsidRDefault="00B97926" w:rsidP="006B348E">
      <w:pPr>
        <w:spacing w:after="0" w:line="240" w:lineRule="auto"/>
        <w:jc w:val="both"/>
        <w:rPr>
          <w:rFonts w:ascii="Times New Roman" w:hAnsi="Times New Roman" w:cs="Times New Roman"/>
          <w:color w:val="0000FF"/>
        </w:rPr>
      </w:pPr>
      <w:r w:rsidRPr="00175CEA">
        <w:rPr>
          <w:rFonts w:ascii="Times New Roman" w:hAnsi="Times New Roman" w:cs="Times New Roman"/>
          <w:color w:val="0000FF"/>
        </w:rPr>
        <w:t>The decision-making process underlying self-medication is summarized in Table 4. Self-medication was primarily driven by the perception of illness as minor and prior experience with similar conditions, with retail pharmacies serving as the main source of information. Previous prescriptions and advice from family or friends also influenced decisions, while formal sources such as drug information leaflets and mass media played a minimal role.</w:t>
      </w:r>
    </w:p>
    <w:p w14:paraId="6127C675" w14:textId="0C3AFDEF" w:rsidR="003708C5" w:rsidRPr="00175CEA" w:rsidRDefault="00B97926" w:rsidP="006B348E">
      <w:pPr>
        <w:spacing w:after="0" w:line="240" w:lineRule="auto"/>
        <w:jc w:val="both"/>
        <w:rPr>
          <w:rFonts w:ascii="Times New Roman" w:hAnsi="Times New Roman" w:cs="Times New Roman"/>
          <w:color w:val="000000" w:themeColor="text1"/>
        </w:rPr>
      </w:pPr>
      <w:r w:rsidRPr="00175CEA">
        <w:rPr>
          <w:rFonts w:ascii="Times New Roman" w:hAnsi="Times New Roman" w:cs="Times New Roman"/>
          <w:noProof/>
          <w:color w:val="0000FF"/>
        </w:rPr>
        <w:drawing>
          <wp:anchor distT="0" distB="0" distL="114300" distR="114300" simplePos="0" relativeHeight="251658240" behindDoc="0" locked="0" layoutInCell="1" allowOverlap="1" wp14:anchorId="438E6D56" wp14:editId="488E0812">
            <wp:simplePos x="0" y="0"/>
            <wp:positionH relativeFrom="column">
              <wp:posOffset>3707130</wp:posOffset>
            </wp:positionH>
            <wp:positionV relativeFrom="paragraph">
              <wp:posOffset>2540</wp:posOffset>
            </wp:positionV>
            <wp:extent cx="2798445" cy="1937385"/>
            <wp:effectExtent l="0" t="0" r="0" b="0"/>
            <wp:wrapNone/>
            <wp:docPr id="9994729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472912" name="Picture 9994729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8445" cy="1937385"/>
                    </a:xfrm>
                    <a:prstGeom prst="rect">
                      <a:avLst/>
                    </a:prstGeom>
                  </pic:spPr>
                </pic:pic>
              </a:graphicData>
            </a:graphic>
            <wp14:sizeRelH relativeFrom="page">
              <wp14:pctWidth>0</wp14:pctWidth>
            </wp14:sizeRelH>
            <wp14:sizeRelV relativeFrom="page">
              <wp14:pctHeight>0</wp14:pctHeight>
            </wp14:sizeRelV>
          </wp:anchor>
        </w:drawing>
      </w:r>
    </w:p>
    <w:p w14:paraId="75AF9D97" w14:textId="77777777" w:rsidR="00B97926" w:rsidRPr="00175CEA" w:rsidRDefault="00B97926" w:rsidP="006B348E">
      <w:pPr>
        <w:spacing w:after="0" w:line="240" w:lineRule="auto"/>
        <w:jc w:val="both"/>
        <w:rPr>
          <w:rFonts w:ascii="Times New Roman" w:hAnsi="Times New Roman" w:cs="Times New Roman"/>
          <w:color w:val="000000" w:themeColor="text1"/>
        </w:rPr>
      </w:pPr>
    </w:p>
    <w:p w14:paraId="742B55F9" w14:textId="73EA1189" w:rsidR="003708C5" w:rsidRPr="00175CEA" w:rsidRDefault="00000000" w:rsidP="006B348E">
      <w:pPr>
        <w:spacing w:after="0" w:line="240" w:lineRule="auto"/>
        <w:jc w:val="both"/>
        <w:rPr>
          <w:rFonts w:ascii="Times New Roman" w:hAnsi="Times New Roman" w:cs="Times New Roman"/>
          <w:color w:val="000000" w:themeColor="text1"/>
        </w:rPr>
      </w:pPr>
      <w:r>
        <w:rPr>
          <w:rFonts w:ascii="Times New Roman" w:hAnsi="Times New Roman" w:cs="Times New Roman"/>
          <w:noProof/>
        </w:rPr>
        <w:pict w14:anchorId="5B21F6F8">
          <v:shapetype id="_x0000_t202" coordsize="21600,21600" o:spt="202" path="m,l,21600r21600,l21600,xe">
            <v:stroke joinstyle="miter"/>
            <v:path gradientshapeok="t" o:connecttype="rect"/>
          </v:shapetype>
          <v:shape id="Text Box 2" o:spid="_x0000_s2079" type="#_x0000_t202" style="position:absolute;left:0;text-align:left;margin-left:-1.4pt;margin-top:10.75pt;width:269.5pt;height:98.5pt;z-index:251721728;visibility:visible;mso-wrap-distance-left:9pt;mso-wrap-distance-top:3.6pt;mso-wrap-distance-right:9pt;mso-wrap-distance-bottom:3.6pt;mso-position-horizontal-relative:text;mso-position-vertical-relative:text;mso-width-relative:margin;mso-height-relative:margin;v-text-anchor:top" stroked="f">
            <v:textbox style="mso-next-textbox:#Text Box 2">
              <w:txbxContent>
                <w:p w14:paraId="370C506B" w14:textId="0917A73A" w:rsidR="003708C5" w:rsidRPr="001B6F30" w:rsidRDefault="003708C5" w:rsidP="003708C5">
                  <w:pPr>
                    <w:jc w:val="both"/>
                    <w:rPr>
                      <w:rFonts w:ascii="Times New Roman" w:hAnsi="Times New Roman" w:cs="Times New Roman"/>
                    </w:rPr>
                  </w:pPr>
                  <w:r w:rsidRPr="001B6F30">
                    <w:rPr>
                      <w:rFonts w:ascii="Times New Roman" w:hAnsi="Times New Roman" w:cs="Times New Roman"/>
                      <w:b/>
                      <w:bCs/>
                    </w:rPr>
                    <w:t>Figure 1</w:t>
                  </w:r>
                  <w:r w:rsidR="0027608B" w:rsidRPr="001B6F30">
                    <w:rPr>
                      <w:rFonts w:ascii="Times New Roman" w:hAnsi="Times New Roman" w:cs="Times New Roman"/>
                      <w:b/>
                      <w:bCs/>
                    </w:rPr>
                    <w:t>:</w:t>
                  </w:r>
                  <w:r w:rsidRPr="001B6F30">
                    <w:rPr>
                      <w:rFonts w:ascii="Times New Roman" w:hAnsi="Times New Roman" w:cs="Times New Roman"/>
                      <w:color w:val="000000" w:themeColor="text1"/>
                    </w:rPr>
                    <w:t xml:space="preserve"> </w:t>
                  </w:r>
                  <w:r w:rsidRPr="001B6F30">
                    <w:rPr>
                      <w:rFonts w:ascii="Times New Roman" w:hAnsi="Times New Roman" w:cs="Times New Roman"/>
                    </w:rPr>
                    <w:t xml:space="preserve">Major indications for </w:t>
                  </w:r>
                  <w:r w:rsidR="00EA1948" w:rsidRPr="001B6F30">
                    <w:rPr>
                      <w:rFonts w:ascii="Times New Roman" w:hAnsi="Times New Roman" w:cs="Times New Roman"/>
                    </w:rPr>
                    <w:t>self-medication</w:t>
                  </w:r>
                  <w:r w:rsidRPr="001B6F30">
                    <w:rPr>
                      <w:rFonts w:ascii="Times New Roman" w:hAnsi="Times New Roman" w:cs="Times New Roman"/>
                    </w:rPr>
                    <w:t xml:space="preserve"> among the study population. Back or muscle pain was the most frequently reported indication, followed by gastritis and fever, while conditions such as headache, insomnia, and cough were reported less frequently.</w:t>
                  </w:r>
                </w:p>
              </w:txbxContent>
            </v:textbox>
          </v:shape>
        </w:pict>
      </w:r>
    </w:p>
    <w:p w14:paraId="428D851C" w14:textId="33CA3656" w:rsidR="003708C5" w:rsidRPr="00175CEA" w:rsidRDefault="003708C5" w:rsidP="006B348E">
      <w:pPr>
        <w:spacing w:after="0" w:line="240" w:lineRule="auto"/>
        <w:jc w:val="both"/>
        <w:rPr>
          <w:rFonts w:ascii="Times New Roman" w:hAnsi="Times New Roman" w:cs="Times New Roman"/>
          <w:color w:val="000000" w:themeColor="text1"/>
        </w:rPr>
      </w:pPr>
    </w:p>
    <w:p w14:paraId="686333B7" w14:textId="797FB1C1" w:rsidR="003708C5" w:rsidRPr="00175CEA" w:rsidRDefault="003708C5" w:rsidP="006B348E">
      <w:pPr>
        <w:spacing w:after="0" w:line="240" w:lineRule="auto"/>
        <w:jc w:val="both"/>
        <w:rPr>
          <w:rFonts w:ascii="Times New Roman" w:hAnsi="Times New Roman" w:cs="Times New Roman"/>
          <w:color w:val="000000" w:themeColor="text1"/>
        </w:rPr>
      </w:pPr>
    </w:p>
    <w:p w14:paraId="18CFC56E" w14:textId="77777777" w:rsidR="003708C5" w:rsidRPr="00175CEA" w:rsidRDefault="003708C5" w:rsidP="006B348E">
      <w:pPr>
        <w:spacing w:after="0" w:line="240" w:lineRule="auto"/>
        <w:jc w:val="both"/>
        <w:rPr>
          <w:rFonts w:ascii="Times New Roman" w:hAnsi="Times New Roman" w:cs="Times New Roman"/>
          <w:color w:val="000000" w:themeColor="text1"/>
        </w:rPr>
      </w:pPr>
    </w:p>
    <w:p w14:paraId="39DA3230" w14:textId="1FBC7086" w:rsidR="003708C5" w:rsidRPr="00175CEA" w:rsidRDefault="003708C5" w:rsidP="006B348E">
      <w:pPr>
        <w:spacing w:after="0" w:line="240" w:lineRule="auto"/>
        <w:jc w:val="both"/>
        <w:rPr>
          <w:rFonts w:ascii="Times New Roman" w:hAnsi="Times New Roman" w:cs="Times New Roman"/>
          <w:color w:val="000000" w:themeColor="text1"/>
        </w:rPr>
      </w:pPr>
    </w:p>
    <w:p w14:paraId="46918C26" w14:textId="77777777" w:rsidR="003708C5" w:rsidRPr="00175CEA" w:rsidRDefault="003708C5" w:rsidP="006B348E">
      <w:pPr>
        <w:spacing w:after="0" w:line="240" w:lineRule="auto"/>
        <w:jc w:val="both"/>
        <w:rPr>
          <w:rFonts w:ascii="Times New Roman" w:hAnsi="Times New Roman" w:cs="Times New Roman"/>
          <w:color w:val="000000" w:themeColor="text1"/>
        </w:rPr>
      </w:pPr>
    </w:p>
    <w:p w14:paraId="59973CD9" w14:textId="6C4EA214" w:rsidR="003708C5" w:rsidRPr="00175CEA" w:rsidRDefault="003708C5" w:rsidP="006B348E">
      <w:pPr>
        <w:spacing w:after="0" w:line="240" w:lineRule="auto"/>
        <w:jc w:val="both"/>
        <w:rPr>
          <w:rFonts w:ascii="Times New Roman" w:hAnsi="Times New Roman" w:cs="Times New Roman"/>
          <w:color w:val="000000" w:themeColor="text1"/>
        </w:rPr>
      </w:pPr>
    </w:p>
    <w:p w14:paraId="0C3F7225" w14:textId="77777777" w:rsidR="003708C5" w:rsidRPr="00175CEA" w:rsidRDefault="003708C5" w:rsidP="006B348E">
      <w:pPr>
        <w:spacing w:after="0" w:line="240" w:lineRule="auto"/>
        <w:jc w:val="both"/>
        <w:rPr>
          <w:rFonts w:ascii="Times New Roman" w:hAnsi="Times New Roman" w:cs="Times New Roman"/>
          <w:color w:val="000000" w:themeColor="text1"/>
        </w:rPr>
      </w:pPr>
    </w:p>
    <w:p w14:paraId="3970FE65" w14:textId="77777777" w:rsidR="005E21A5" w:rsidRPr="00175CEA" w:rsidRDefault="005E21A5" w:rsidP="006B348E">
      <w:pPr>
        <w:spacing w:after="0" w:line="240" w:lineRule="auto"/>
        <w:jc w:val="both"/>
        <w:rPr>
          <w:rFonts w:ascii="Times New Roman" w:hAnsi="Times New Roman" w:cs="Times New Roman"/>
          <w:color w:val="000000" w:themeColor="text1"/>
        </w:rPr>
      </w:pPr>
    </w:p>
    <w:p w14:paraId="1966E50F" w14:textId="77777777" w:rsidR="003708C5" w:rsidRPr="00175CEA" w:rsidRDefault="003708C5" w:rsidP="006B348E">
      <w:pPr>
        <w:spacing w:after="0" w:line="240" w:lineRule="auto"/>
        <w:jc w:val="both"/>
        <w:rPr>
          <w:rFonts w:ascii="Times New Roman" w:hAnsi="Times New Roman" w:cs="Times New Roman"/>
          <w:color w:val="000000" w:themeColor="text1"/>
        </w:rPr>
      </w:pPr>
    </w:p>
    <w:p w14:paraId="02693EBB" w14:textId="46F34934" w:rsidR="009B6150" w:rsidRPr="00175CEA" w:rsidRDefault="00B65DBB" w:rsidP="006B348E">
      <w:pPr>
        <w:spacing w:after="0" w:line="240" w:lineRule="auto"/>
        <w:jc w:val="both"/>
        <w:rPr>
          <w:rFonts w:ascii="Times New Roman" w:hAnsi="Times New Roman" w:cs="Times New Roman"/>
          <w:color w:val="000000" w:themeColor="text1"/>
        </w:rPr>
      </w:pPr>
      <w:r w:rsidRPr="00175CEA">
        <w:rPr>
          <w:rFonts w:ascii="Times New Roman" w:hAnsi="Times New Roman" w:cs="Times New Roman"/>
          <w:color w:val="000000" w:themeColor="text1"/>
        </w:rPr>
        <w:t>The distribution of health conditions for which self-medication was practiced differed between urban and rural populations. To better understand these variations, the most frequently reported indications were analyzed comparatively. Figure 2 presents the leading indications for self-medication in urban and rural areas, highlighting differences in the pattern and prevalence of commonly reported conditions between the two settings</w:t>
      </w:r>
      <w:r w:rsidR="003708C5" w:rsidRPr="00175CEA">
        <w:rPr>
          <w:rFonts w:ascii="Times New Roman" w:hAnsi="Times New Roman" w:cs="Times New Roman"/>
          <w:color w:val="000000" w:themeColor="text1"/>
        </w:rPr>
        <w:t>.</w:t>
      </w:r>
    </w:p>
    <w:p w14:paraId="347D260D" w14:textId="107720EC" w:rsidR="001D3F96" w:rsidRPr="00175CEA" w:rsidRDefault="00E57786" w:rsidP="00EC6A01">
      <w:pPr>
        <w:spacing w:after="0" w:line="240" w:lineRule="auto"/>
        <w:jc w:val="center"/>
        <w:rPr>
          <w:rFonts w:ascii="Times New Roman" w:hAnsi="Times New Roman" w:cs="Times New Roman"/>
          <w:color w:val="FF0000"/>
        </w:rPr>
      </w:pPr>
      <w:r w:rsidRPr="00175CEA">
        <w:rPr>
          <w:rFonts w:ascii="Times New Roman" w:hAnsi="Times New Roman" w:cs="Times New Roman"/>
          <w:noProof/>
          <w:color w:val="FF0000"/>
        </w:rPr>
        <w:drawing>
          <wp:inline distT="0" distB="0" distL="0" distR="0" wp14:anchorId="4536BA0D" wp14:editId="407F8720">
            <wp:extent cx="4949687" cy="3712387"/>
            <wp:effectExtent l="0" t="0" r="0" b="0"/>
            <wp:docPr id="16526053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05396" name="Picture 165260539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28010" cy="3771131"/>
                    </a:xfrm>
                    <a:prstGeom prst="rect">
                      <a:avLst/>
                    </a:prstGeom>
                  </pic:spPr>
                </pic:pic>
              </a:graphicData>
            </a:graphic>
          </wp:inline>
        </w:drawing>
      </w:r>
    </w:p>
    <w:p w14:paraId="1EA966CA" w14:textId="328E75E1" w:rsidR="00574A6E" w:rsidRPr="00552838" w:rsidRDefault="00574A6E" w:rsidP="00574A6E">
      <w:pPr>
        <w:spacing w:after="0" w:line="240" w:lineRule="auto"/>
        <w:jc w:val="both"/>
        <w:rPr>
          <w:rFonts w:ascii="Times New Roman" w:hAnsi="Times New Roman" w:cs="Times New Roman"/>
          <w:color w:val="FF0000"/>
        </w:rPr>
      </w:pPr>
      <w:r w:rsidRPr="00175CEA">
        <w:rPr>
          <w:rFonts w:ascii="Times New Roman" w:hAnsi="Times New Roman" w:cs="Times New Roman"/>
          <w:b/>
          <w:bCs/>
        </w:rPr>
        <w:t>Figure 2:</w:t>
      </w:r>
      <w:r w:rsidRPr="00175CEA">
        <w:rPr>
          <w:rFonts w:ascii="Times New Roman" w:hAnsi="Times New Roman" w:cs="Times New Roman"/>
          <w:color w:val="000000" w:themeColor="text1"/>
        </w:rPr>
        <w:t xml:space="preserve"> Comparative Indications for </w:t>
      </w:r>
      <w:r w:rsidR="00383566" w:rsidRPr="00175CEA">
        <w:rPr>
          <w:rFonts w:ascii="Times New Roman" w:hAnsi="Times New Roman" w:cs="Times New Roman"/>
          <w:color w:val="000000" w:themeColor="text1"/>
        </w:rPr>
        <w:t>s</w:t>
      </w:r>
      <w:r w:rsidR="00EA1948" w:rsidRPr="00175CEA">
        <w:rPr>
          <w:rFonts w:ascii="Times New Roman" w:hAnsi="Times New Roman" w:cs="Times New Roman"/>
          <w:color w:val="000000" w:themeColor="text1"/>
        </w:rPr>
        <w:t>elf-medication</w:t>
      </w:r>
      <w:r w:rsidRPr="00175CEA">
        <w:rPr>
          <w:rFonts w:ascii="Times New Roman" w:hAnsi="Times New Roman" w:cs="Times New Roman"/>
          <w:color w:val="000000" w:themeColor="text1"/>
        </w:rPr>
        <w:t xml:space="preserve"> in Urban and Rural Areas (Top 14)</w:t>
      </w:r>
      <w:r w:rsidR="00D10EBA" w:rsidRPr="00175CEA">
        <w:rPr>
          <w:rFonts w:ascii="Times New Roman" w:hAnsi="Times New Roman" w:cs="Times New Roman"/>
          <w:color w:val="000000" w:themeColor="text1"/>
        </w:rPr>
        <w:t xml:space="preserve">. The comparative analysis of indications for </w:t>
      </w:r>
      <w:r w:rsidR="00EA1948" w:rsidRPr="00175CEA">
        <w:rPr>
          <w:rFonts w:ascii="Times New Roman" w:hAnsi="Times New Roman" w:cs="Times New Roman"/>
          <w:color w:val="000000" w:themeColor="text1"/>
        </w:rPr>
        <w:t>self-medication</w:t>
      </w:r>
      <w:r w:rsidR="00D10EBA" w:rsidRPr="00175CEA">
        <w:rPr>
          <w:rFonts w:ascii="Times New Roman" w:hAnsi="Times New Roman" w:cs="Times New Roman"/>
          <w:color w:val="000000" w:themeColor="text1"/>
        </w:rPr>
        <w:t xml:space="preserve"> shows clear differences between urban and rural populations. Back or</w:t>
      </w:r>
      <w:r w:rsidR="00D10EBA" w:rsidRPr="00D10EBA">
        <w:rPr>
          <w:rFonts w:ascii="Times New Roman" w:hAnsi="Times New Roman" w:cs="Times New Roman"/>
          <w:color w:val="000000" w:themeColor="text1"/>
        </w:rPr>
        <w:t xml:space="preserve"> </w:t>
      </w:r>
      <w:r w:rsidR="00D10EBA" w:rsidRPr="00552838">
        <w:rPr>
          <w:rFonts w:ascii="Times New Roman" w:hAnsi="Times New Roman" w:cs="Times New Roman"/>
          <w:color w:val="000000" w:themeColor="text1"/>
        </w:rPr>
        <w:lastRenderedPageBreak/>
        <w:t xml:space="preserve">muscle pain was the most common indication in rural areas, while fever and gastritis were more frequently reported in urban settings. Rural respondents showed higher </w:t>
      </w:r>
      <w:r w:rsidR="00EA1948" w:rsidRPr="00552838">
        <w:rPr>
          <w:rFonts w:ascii="Times New Roman" w:hAnsi="Times New Roman" w:cs="Times New Roman"/>
          <w:color w:val="000000" w:themeColor="text1"/>
        </w:rPr>
        <w:t>self-medication</w:t>
      </w:r>
      <w:r w:rsidR="00D10EBA" w:rsidRPr="00552838">
        <w:rPr>
          <w:rFonts w:ascii="Times New Roman" w:hAnsi="Times New Roman" w:cs="Times New Roman"/>
          <w:color w:val="000000" w:themeColor="text1"/>
        </w:rPr>
        <w:t xml:space="preserve"> practices for common cold, headache, insomnia, and allergy, whereas urban respondents demonstrated relatively greater use for fever, gastritis, and toothache. Overall, rural populations relied more on </w:t>
      </w:r>
      <w:r w:rsidR="00EA1948" w:rsidRPr="00552838">
        <w:rPr>
          <w:rFonts w:ascii="Times New Roman" w:hAnsi="Times New Roman" w:cs="Times New Roman"/>
          <w:color w:val="000000" w:themeColor="text1"/>
        </w:rPr>
        <w:t>self-medication</w:t>
      </w:r>
      <w:r w:rsidR="00D10EBA" w:rsidRPr="00552838">
        <w:rPr>
          <w:rFonts w:ascii="Times New Roman" w:hAnsi="Times New Roman" w:cs="Times New Roman"/>
          <w:color w:val="000000" w:themeColor="text1"/>
        </w:rPr>
        <w:t xml:space="preserve"> for pain-related and common illnesses, while urban populations showed higher use for gastrointestinal and febrile conditions.</w:t>
      </w:r>
    </w:p>
    <w:p w14:paraId="16076467" w14:textId="34A3826F" w:rsidR="001D3F96" w:rsidRPr="00552838" w:rsidRDefault="001D3F96" w:rsidP="006B348E">
      <w:pPr>
        <w:spacing w:after="0" w:line="240" w:lineRule="auto"/>
        <w:jc w:val="both"/>
        <w:rPr>
          <w:rFonts w:ascii="Times New Roman" w:hAnsi="Times New Roman" w:cs="Times New Roman"/>
          <w:color w:val="FF0000"/>
        </w:rPr>
      </w:pPr>
    </w:p>
    <w:p w14:paraId="77138052" w14:textId="18F2029C" w:rsidR="003F16FF" w:rsidRPr="00552838" w:rsidRDefault="003F16FF" w:rsidP="003F16FF">
      <w:pPr>
        <w:spacing w:after="0" w:line="240" w:lineRule="auto"/>
        <w:jc w:val="both"/>
        <w:rPr>
          <w:rFonts w:ascii="Times New Roman" w:hAnsi="Times New Roman" w:cs="Times New Roman"/>
          <w:color w:val="000000" w:themeColor="text1"/>
        </w:rPr>
      </w:pPr>
      <w:bookmarkStart w:id="3" w:name="_Hlk217031351"/>
      <w:r w:rsidRPr="00552838">
        <w:rPr>
          <w:rFonts w:ascii="Times New Roman" w:hAnsi="Times New Roman" w:cs="Times New Roman"/>
          <w:color w:val="000000" w:themeColor="text1"/>
        </w:rPr>
        <w:t xml:space="preserve">Table </w:t>
      </w:r>
      <w:r w:rsidR="00320D8E" w:rsidRPr="00552838">
        <w:rPr>
          <w:rFonts w:ascii="Times New Roman" w:hAnsi="Times New Roman" w:cs="Times New Roman"/>
          <w:color w:val="000000" w:themeColor="text1"/>
        </w:rPr>
        <w:t>5</w:t>
      </w:r>
      <w:r w:rsidRPr="00552838">
        <w:rPr>
          <w:rFonts w:ascii="Times New Roman" w:hAnsi="Times New Roman" w:cs="Times New Roman"/>
          <w:color w:val="000000" w:themeColor="text1"/>
        </w:rPr>
        <w:t xml:space="preserve">. Medicine Groups Used for </w:t>
      </w:r>
      <w:r w:rsidR="00EA1948" w:rsidRPr="00552838">
        <w:rPr>
          <w:rFonts w:ascii="Times New Roman" w:hAnsi="Times New Roman" w:cs="Times New Roman"/>
          <w:color w:val="000000" w:themeColor="text1"/>
        </w:rPr>
        <w:t>Self-medication</w:t>
      </w:r>
      <w:r w:rsidRPr="00552838">
        <w:rPr>
          <w:rFonts w:ascii="Times New Roman" w:hAnsi="Times New Roman" w:cs="Times New Roman"/>
          <w:color w:val="000000" w:themeColor="text1"/>
        </w:rPr>
        <w:t xml:space="preserve"> (n = 530)</w:t>
      </w:r>
    </w:p>
    <w:tbl>
      <w:tblPr>
        <w:tblW w:w="10180" w:type="dxa"/>
        <w:tblCellSpacing w:w="15" w:type="dxa"/>
        <w:tblCellMar>
          <w:top w:w="15" w:type="dxa"/>
          <w:left w:w="15" w:type="dxa"/>
          <w:bottom w:w="15" w:type="dxa"/>
          <w:right w:w="15" w:type="dxa"/>
        </w:tblCellMar>
        <w:tblLook w:val="04A0" w:firstRow="1" w:lastRow="0" w:firstColumn="1" w:lastColumn="0" w:noHBand="0" w:noVBand="1"/>
      </w:tblPr>
      <w:tblGrid>
        <w:gridCol w:w="5278"/>
        <w:gridCol w:w="3302"/>
        <w:gridCol w:w="1600"/>
      </w:tblGrid>
      <w:tr w:rsidR="003F16FF" w:rsidRPr="00552838" w14:paraId="677E61E0" w14:textId="77777777" w:rsidTr="00F41B5B">
        <w:trPr>
          <w:trHeight w:val="299"/>
          <w:tblHeader/>
          <w:tblCellSpacing w:w="15" w:type="dxa"/>
        </w:trPr>
        <w:tc>
          <w:tcPr>
            <w:tcW w:w="0" w:type="auto"/>
            <w:vAlign w:val="center"/>
            <w:hideMark/>
          </w:tcPr>
          <w:p w14:paraId="422EB28A" w14:textId="77777777" w:rsidR="003F16FF" w:rsidRPr="00552838" w:rsidRDefault="003F16FF" w:rsidP="003F16FF">
            <w:pPr>
              <w:spacing w:after="0" w:line="240" w:lineRule="auto"/>
              <w:jc w:val="both"/>
              <w:rPr>
                <w:rFonts w:ascii="Times New Roman" w:hAnsi="Times New Roman" w:cs="Times New Roman"/>
                <w:b/>
                <w:bCs/>
                <w:color w:val="000000" w:themeColor="text1"/>
              </w:rPr>
            </w:pPr>
            <w:r w:rsidRPr="00552838">
              <w:rPr>
                <w:rFonts w:ascii="Times New Roman" w:hAnsi="Times New Roman" w:cs="Times New Roman"/>
                <w:b/>
                <w:bCs/>
                <w:color w:val="000000" w:themeColor="text1"/>
              </w:rPr>
              <w:t>Medicine group</w:t>
            </w:r>
          </w:p>
        </w:tc>
        <w:tc>
          <w:tcPr>
            <w:tcW w:w="3272" w:type="dxa"/>
            <w:vAlign w:val="center"/>
            <w:hideMark/>
          </w:tcPr>
          <w:p w14:paraId="14842F94" w14:textId="77777777" w:rsidR="003F16FF" w:rsidRPr="00552838" w:rsidRDefault="003F16FF" w:rsidP="003F16FF">
            <w:pPr>
              <w:spacing w:after="0" w:line="240" w:lineRule="auto"/>
              <w:jc w:val="both"/>
              <w:rPr>
                <w:rFonts w:ascii="Times New Roman" w:hAnsi="Times New Roman" w:cs="Times New Roman"/>
                <w:b/>
                <w:bCs/>
                <w:color w:val="000000" w:themeColor="text1"/>
              </w:rPr>
            </w:pPr>
            <w:r w:rsidRPr="00552838">
              <w:rPr>
                <w:rFonts w:ascii="Times New Roman" w:hAnsi="Times New Roman" w:cs="Times New Roman"/>
                <w:b/>
                <w:bCs/>
                <w:color w:val="000000" w:themeColor="text1"/>
              </w:rPr>
              <w:t>Number of respondents (n)</w:t>
            </w:r>
          </w:p>
        </w:tc>
        <w:tc>
          <w:tcPr>
            <w:tcW w:w="1555" w:type="dxa"/>
            <w:vAlign w:val="center"/>
            <w:hideMark/>
          </w:tcPr>
          <w:p w14:paraId="2E21F345" w14:textId="77777777" w:rsidR="003F16FF" w:rsidRPr="00552838" w:rsidRDefault="003F16FF" w:rsidP="003F16FF">
            <w:pPr>
              <w:spacing w:after="0" w:line="240" w:lineRule="auto"/>
              <w:jc w:val="both"/>
              <w:rPr>
                <w:rFonts w:ascii="Times New Roman" w:hAnsi="Times New Roman" w:cs="Times New Roman"/>
                <w:b/>
                <w:bCs/>
                <w:color w:val="000000" w:themeColor="text1"/>
              </w:rPr>
            </w:pPr>
            <w:r w:rsidRPr="00552838">
              <w:rPr>
                <w:rFonts w:ascii="Times New Roman" w:hAnsi="Times New Roman" w:cs="Times New Roman"/>
                <w:b/>
                <w:bCs/>
                <w:color w:val="000000" w:themeColor="text1"/>
              </w:rPr>
              <w:t>Percentage (%)</w:t>
            </w:r>
          </w:p>
        </w:tc>
      </w:tr>
      <w:tr w:rsidR="003F16FF" w:rsidRPr="00552838" w14:paraId="151E147E" w14:textId="77777777" w:rsidTr="00F41B5B">
        <w:trPr>
          <w:trHeight w:val="307"/>
          <w:tblCellSpacing w:w="15" w:type="dxa"/>
        </w:trPr>
        <w:tc>
          <w:tcPr>
            <w:tcW w:w="0" w:type="auto"/>
            <w:vAlign w:val="center"/>
            <w:hideMark/>
          </w:tcPr>
          <w:p w14:paraId="767DB6F9"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Proton pump inhibitors</w:t>
            </w:r>
          </w:p>
        </w:tc>
        <w:tc>
          <w:tcPr>
            <w:tcW w:w="3272" w:type="dxa"/>
            <w:vAlign w:val="center"/>
            <w:hideMark/>
          </w:tcPr>
          <w:p w14:paraId="4FE15E2D"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121</w:t>
            </w:r>
          </w:p>
        </w:tc>
        <w:tc>
          <w:tcPr>
            <w:tcW w:w="1555" w:type="dxa"/>
            <w:vAlign w:val="center"/>
            <w:hideMark/>
          </w:tcPr>
          <w:p w14:paraId="13E6B799"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22.8</w:t>
            </w:r>
          </w:p>
        </w:tc>
      </w:tr>
      <w:tr w:rsidR="003F16FF" w:rsidRPr="00552838" w14:paraId="4F1E47AD" w14:textId="77777777" w:rsidTr="00F41B5B">
        <w:trPr>
          <w:trHeight w:val="307"/>
          <w:tblCellSpacing w:w="15" w:type="dxa"/>
        </w:trPr>
        <w:tc>
          <w:tcPr>
            <w:tcW w:w="0" w:type="auto"/>
            <w:vAlign w:val="center"/>
            <w:hideMark/>
          </w:tcPr>
          <w:p w14:paraId="3E04EA2F"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Non-steroidal anti-inflammatory drugs (NSAIDs)</w:t>
            </w:r>
          </w:p>
        </w:tc>
        <w:tc>
          <w:tcPr>
            <w:tcW w:w="3272" w:type="dxa"/>
            <w:vAlign w:val="center"/>
            <w:hideMark/>
          </w:tcPr>
          <w:p w14:paraId="5D98E0B1"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119</w:t>
            </w:r>
          </w:p>
        </w:tc>
        <w:tc>
          <w:tcPr>
            <w:tcW w:w="1555" w:type="dxa"/>
            <w:vAlign w:val="center"/>
            <w:hideMark/>
          </w:tcPr>
          <w:p w14:paraId="4CF0DB6A"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22.5</w:t>
            </w:r>
          </w:p>
        </w:tc>
      </w:tr>
      <w:tr w:rsidR="003F16FF" w:rsidRPr="00552838" w14:paraId="13376848" w14:textId="77777777" w:rsidTr="00F41B5B">
        <w:trPr>
          <w:trHeight w:val="307"/>
          <w:tblCellSpacing w:w="15" w:type="dxa"/>
        </w:trPr>
        <w:tc>
          <w:tcPr>
            <w:tcW w:w="0" w:type="auto"/>
            <w:vAlign w:val="center"/>
            <w:hideMark/>
          </w:tcPr>
          <w:p w14:paraId="57B08D57"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Antibiotics</w:t>
            </w:r>
          </w:p>
        </w:tc>
        <w:tc>
          <w:tcPr>
            <w:tcW w:w="3272" w:type="dxa"/>
            <w:vAlign w:val="center"/>
            <w:hideMark/>
          </w:tcPr>
          <w:p w14:paraId="2B2B261D"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76</w:t>
            </w:r>
          </w:p>
        </w:tc>
        <w:tc>
          <w:tcPr>
            <w:tcW w:w="1555" w:type="dxa"/>
            <w:vAlign w:val="center"/>
            <w:hideMark/>
          </w:tcPr>
          <w:p w14:paraId="3161E267"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14.3</w:t>
            </w:r>
          </w:p>
        </w:tc>
      </w:tr>
      <w:tr w:rsidR="003F16FF" w:rsidRPr="00552838" w14:paraId="0ED4434F" w14:textId="77777777" w:rsidTr="00F41B5B">
        <w:trPr>
          <w:trHeight w:val="299"/>
          <w:tblCellSpacing w:w="15" w:type="dxa"/>
        </w:trPr>
        <w:tc>
          <w:tcPr>
            <w:tcW w:w="0" w:type="auto"/>
            <w:vAlign w:val="center"/>
            <w:hideMark/>
          </w:tcPr>
          <w:p w14:paraId="4FA843FC"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Cough preparations</w:t>
            </w:r>
          </w:p>
        </w:tc>
        <w:tc>
          <w:tcPr>
            <w:tcW w:w="3272" w:type="dxa"/>
            <w:vAlign w:val="center"/>
            <w:hideMark/>
          </w:tcPr>
          <w:p w14:paraId="0544EC5F"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67</w:t>
            </w:r>
          </w:p>
        </w:tc>
        <w:tc>
          <w:tcPr>
            <w:tcW w:w="1555" w:type="dxa"/>
            <w:vAlign w:val="center"/>
            <w:hideMark/>
          </w:tcPr>
          <w:p w14:paraId="402CB97A"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12.6</w:t>
            </w:r>
          </w:p>
        </w:tc>
      </w:tr>
      <w:tr w:rsidR="003F16FF" w:rsidRPr="00552838" w14:paraId="1FE213DA" w14:textId="77777777" w:rsidTr="00F41B5B">
        <w:trPr>
          <w:trHeight w:val="307"/>
          <w:tblCellSpacing w:w="15" w:type="dxa"/>
        </w:trPr>
        <w:tc>
          <w:tcPr>
            <w:tcW w:w="0" w:type="auto"/>
            <w:vAlign w:val="center"/>
            <w:hideMark/>
          </w:tcPr>
          <w:p w14:paraId="0026D3D8"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Antihistamines</w:t>
            </w:r>
          </w:p>
        </w:tc>
        <w:tc>
          <w:tcPr>
            <w:tcW w:w="3272" w:type="dxa"/>
            <w:vAlign w:val="center"/>
            <w:hideMark/>
          </w:tcPr>
          <w:p w14:paraId="6C99A409"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65</w:t>
            </w:r>
          </w:p>
        </w:tc>
        <w:tc>
          <w:tcPr>
            <w:tcW w:w="1555" w:type="dxa"/>
            <w:vAlign w:val="center"/>
            <w:hideMark/>
          </w:tcPr>
          <w:p w14:paraId="5D36F1AB"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12.3</w:t>
            </w:r>
          </w:p>
        </w:tc>
      </w:tr>
      <w:tr w:rsidR="003F16FF" w:rsidRPr="00552838" w14:paraId="7679AAFF" w14:textId="77777777" w:rsidTr="00F41B5B">
        <w:trPr>
          <w:trHeight w:val="307"/>
          <w:tblCellSpacing w:w="15" w:type="dxa"/>
        </w:trPr>
        <w:tc>
          <w:tcPr>
            <w:tcW w:w="0" w:type="auto"/>
            <w:vAlign w:val="center"/>
            <w:hideMark/>
          </w:tcPr>
          <w:p w14:paraId="3F2046CC"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H2 blockers</w:t>
            </w:r>
          </w:p>
        </w:tc>
        <w:tc>
          <w:tcPr>
            <w:tcW w:w="3272" w:type="dxa"/>
            <w:vAlign w:val="center"/>
            <w:hideMark/>
          </w:tcPr>
          <w:p w14:paraId="5448C737"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29</w:t>
            </w:r>
          </w:p>
        </w:tc>
        <w:tc>
          <w:tcPr>
            <w:tcW w:w="1555" w:type="dxa"/>
            <w:vAlign w:val="center"/>
            <w:hideMark/>
          </w:tcPr>
          <w:p w14:paraId="070F7149"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5.5</w:t>
            </w:r>
          </w:p>
        </w:tc>
      </w:tr>
      <w:tr w:rsidR="003F16FF" w:rsidRPr="00552838" w14:paraId="218DEE25" w14:textId="77777777" w:rsidTr="00F41B5B">
        <w:trPr>
          <w:trHeight w:val="307"/>
          <w:tblCellSpacing w:w="15" w:type="dxa"/>
        </w:trPr>
        <w:tc>
          <w:tcPr>
            <w:tcW w:w="0" w:type="auto"/>
            <w:vAlign w:val="center"/>
            <w:hideMark/>
          </w:tcPr>
          <w:p w14:paraId="34A202A8"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Antacids</w:t>
            </w:r>
          </w:p>
        </w:tc>
        <w:tc>
          <w:tcPr>
            <w:tcW w:w="3272" w:type="dxa"/>
            <w:vAlign w:val="center"/>
            <w:hideMark/>
          </w:tcPr>
          <w:p w14:paraId="464CB0FC"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14</w:t>
            </w:r>
          </w:p>
        </w:tc>
        <w:tc>
          <w:tcPr>
            <w:tcW w:w="1555" w:type="dxa"/>
            <w:vAlign w:val="center"/>
            <w:hideMark/>
          </w:tcPr>
          <w:p w14:paraId="072E981B"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2.6</w:t>
            </w:r>
          </w:p>
        </w:tc>
      </w:tr>
      <w:tr w:rsidR="003F16FF" w:rsidRPr="00552838" w14:paraId="60B2ED47" w14:textId="77777777" w:rsidTr="00F41B5B">
        <w:trPr>
          <w:trHeight w:val="307"/>
          <w:tblCellSpacing w:w="15" w:type="dxa"/>
        </w:trPr>
        <w:tc>
          <w:tcPr>
            <w:tcW w:w="0" w:type="auto"/>
            <w:vAlign w:val="center"/>
            <w:hideMark/>
          </w:tcPr>
          <w:p w14:paraId="5CF5CCF8"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Vitamins</w:t>
            </w:r>
          </w:p>
        </w:tc>
        <w:tc>
          <w:tcPr>
            <w:tcW w:w="3272" w:type="dxa"/>
            <w:vAlign w:val="center"/>
            <w:hideMark/>
          </w:tcPr>
          <w:p w14:paraId="5CC52387"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14</w:t>
            </w:r>
          </w:p>
        </w:tc>
        <w:tc>
          <w:tcPr>
            <w:tcW w:w="1555" w:type="dxa"/>
            <w:vAlign w:val="center"/>
            <w:hideMark/>
          </w:tcPr>
          <w:p w14:paraId="11F0DF4B"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2.6</w:t>
            </w:r>
          </w:p>
        </w:tc>
      </w:tr>
      <w:tr w:rsidR="003F16FF" w:rsidRPr="00552838" w14:paraId="04145E01" w14:textId="77777777" w:rsidTr="00F41B5B">
        <w:trPr>
          <w:trHeight w:val="307"/>
          <w:tblCellSpacing w:w="15" w:type="dxa"/>
        </w:trPr>
        <w:tc>
          <w:tcPr>
            <w:tcW w:w="0" w:type="auto"/>
            <w:vAlign w:val="center"/>
            <w:hideMark/>
          </w:tcPr>
          <w:p w14:paraId="4B459D00"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Topical skin preparations</w:t>
            </w:r>
          </w:p>
        </w:tc>
        <w:tc>
          <w:tcPr>
            <w:tcW w:w="3272" w:type="dxa"/>
            <w:vAlign w:val="center"/>
            <w:hideMark/>
          </w:tcPr>
          <w:p w14:paraId="48A4EB88"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14</w:t>
            </w:r>
          </w:p>
        </w:tc>
        <w:tc>
          <w:tcPr>
            <w:tcW w:w="1555" w:type="dxa"/>
            <w:vAlign w:val="center"/>
            <w:hideMark/>
          </w:tcPr>
          <w:p w14:paraId="79EC94C6"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2.6</w:t>
            </w:r>
          </w:p>
        </w:tc>
      </w:tr>
      <w:tr w:rsidR="003F16FF" w:rsidRPr="00552838" w14:paraId="32A2415D" w14:textId="77777777" w:rsidTr="00F41B5B">
        <w:trPr>
          <w:trHeight w:val="307"/>
          <w:tblCellSpacing w:w="15" w:type="dxa"/>
        </w:trPr>
        <w:tc>
          <w:tcPr>
            <w:tcW w:w="0" w:type="auto"/>
            <w:vAlign w:val="center"/>
            <w:hideMark/>
          </w:tcPr>
          <w:p w14:paraId="1C66F966"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Anti-diabetic drugs</w:t>
            </w:r>
          </w:p>
        </w:tc>
        <w:tc>
          <w:tcPr>
            <w:tcW w:w="3272" w:type="dxa"/>
            <w:vAlign w:val="center"/>
            <w:hideMark/>
          </w:tcPr>
          <w:p w14:paraId="357A77E6"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12</w:t>
            </w:r>
          </w:p>
        </w:tc>
        <w:tc>
          <w:tcPr>
            <w:tcW w:w="1555" w:type="dxa"/>
            <w:vAlign w:val="center"/>
            <w:hideMark/>
          </w:tcPr>
          <w:p w14:paraId="36569516"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2.3</w:t>
            </w:r>
          </w:p>
        </w:tc>
      </w:tr>
      <w:tr w:rsidR="003F16FF" w:rsidRPr="00552838" w14:paraId="1A926BBC" w14:textId="77777777" w:rsidTr="00F41B5B">
        <w:trPr>
          <w:trHeight w:val="307"/>
          <w:tblCellSpacing w:w="15" w:type="dxa"/>
        </w:trPr>
        <w:tc>
          <w:tcPr>
            <w:tcW w:w="0" w:type="auto"/>
            <w:vAlign w:val="center"/>
            <w:hideMark/>
          </w:tcPr>
          <w:p w14:paraId="15B2547F"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Antihypertensive drugs</w:t>
            </w:r>
          </w:p>
        </w:tc>
        <w:tc>
          <w:tcPr>
            <w:tcW w:w="3272" w:type="dxa"/>
            <w:vAlign w:val="center"/>
            <w:hideMark/>
          </w:tcPr>
          <w:p w14:paraId="75603917"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11</w:t>
            </w:r>
          </w:p>
        </w:tc>
        <w:tc>
          <w:tcPr>
            <w:tcW w:w="1555" w:type="dxa"/>
            <w:vAlign w:val="center"/>
            <w:hideMark/>
          </w:tcPr>
          <w:p w14:paraId="077B26F6"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2.1</w:t>
            </w:r>
          </w:p>
        </w:tc>
      </w:tr>
      <w:tr w:rsidR="003F16FF" w:rsidRPr="00552838" w14:paraId="31103861" w14:textId="77777777" w:rsidTr="00F41B5B">
        <w:trPr>
          <w:trHeight w:val="299"/>
          <w:tblCellSpacing w:w="15" w:type="dxa"/>
        </w:trPr>
        <w:tc>
          <w:tcPr>
            <w:tcW w:w="0" w:type="auto"/>
            <w:vAlign w:val="center"/>
            <w:hideMark/>
          </w:tcPr>
          <w:p w14:paraId="7E3BBFE5"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Eye drops</w:t>
            </w:r>
          </w:p>
        </w:tc>
        <w:tc>
          <w:tcPr>
            <w:tcW w:w="3272" w:type="dxa"/>
            <w:vAlign w:val="center"/>
            <w:hideMark/>
          </w:tcPr>
          <w:p w14:paraId="553DA1A9"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11</w:t>
            </w:r>
          </w:p>
        </w:tc>
        <w:tc>
          <w:tcPr>
            <w:tcW w:w="1555" w:type="dxa"/>
            <w:vAlign w:val="center"/>
            <w:hideMark/>
          </w:tcPr>
          <w:p w14:paraId="386FB8C5"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2.1</w:t>
            </w:r>
          </w:p>
        </w:tc>
      </w:tr>
      <w:tr w:rsidR="003F16FF" w:rsidRPr="00552838" w14:paraId="6C075266" w14:textId="77777777" w:rsidTr="00F41B5B">
        <w:trPr>
          <w:trHeight w:val="307"/>
          <w:tblCellSpacing w:w="15" w:type="dxa"/>
        </w:trPr>
        <w:tc>
          <w:tcPr>
            <w:tcW w:w="0" w:type="auto"/>
            <w:vAlign w:val="center"/>
            <w:hideMark/>
          </w:tcPr>
          <w:p w14:paraId="564FC0C5"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Antidiarrheals / antiprotozoal agents</w:t>
            </w:r>
          </w:p>
        </w:tc>
        <w:tc>
          <w:tcPr>
            <w:tcW w:w="3272" w:type="dxa"/>
            <w:vAlign w:val="center"/>
            <w:hideMark/>
          </w:tcPr>
          <w:p w14:paraId="4CA3361C"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11</w:t>
            </w:r>
          </w:p>
        </w:tc>
        <w:tc>
          <w:tcPr>
            <w:tcW w:w="1555" w:type="dxa"/>
            <w:vAlign w:val="center"/>
            <w:hideMark/>
          </w:tcPr>
          <w:p w14:paraId="2C5FA345"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2.1</w:t>
            </w:r>
          </w:p>
        </w:tc>
      </w:tr>
      <w:tr w:rsidR="003F16FF" w:rsidRPr="00552838" w14:paraId="7E2651F6" w14:textId="77777777" w:rsidTr="00F41B5B">
        <w:trPr>
          <w:trHeight w:val="307"/>
          <w:tblCellSpacing w:w="15" w:type="dxa"/>
        </w:trPr>
        <w:tc>
          <w:tcPr>
            <w:tcW w:w="0" w:type="auto"/>
            <w:vAlign w:val="center"/>
            <w:hideMark/>
          </w:tcPr>
          <w:p w14:paraId="6FF10611"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Sedatives</w:t>
            </w:r>
          </w:p>
        </w:tc>
        <w:tc>
          <w:tcPr>
            <w:tcW w:w="3272" w:type="dxa"/>
            <w:vAlign w:val="center"/>
            <w:hideMark/>
          </w:tcPr>
          <w:p w14:paraId="0C82B37D"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6</w:t>
            </w:r>
          </w:p>
        </w:tc>
        <w:tc>
          <w:tcPr>
            <w:tcW w:w="1555" w:type="dxa"/>
            <w:vAlign w:val="center"/>
            <w:hideMark/>
          </w:tcPr>
          <w:p w14:paraId="0D2C78E3"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1.1</w:t>
            </w:r>
          </w:p>
        </w:tc>
      </w:tr>
      <w:tr w:rsidR="003F16FF" w:rsidRPr="00552838" w14:paraId="37A2AA4E" w14:textId="77777777" w:rsidTr="00F41B5B">
        <w:trPr>
          <w:trHeight w:val="307"/>
          <w:tblCellSpacing w:w="15" w:type="dxa"/>
        </w:trPr>
        <w:tc>
          <w:tcPr>
            <w:tcW w:w="0" w:type="auto"/>
            <w:vAlign w:val="center"/>
            <w:hideMark/>
          </w:tcPr>
          <w:p w14:paraId="1F233EBC"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Antiemetics</w:t>
            </w:r>
          </w:p>
        </w:tc>
        <w:tc>
          <w:tcPr>
            <w:tcW w:w="3272" w:type="dxa"/>
            <w:vAlign w:val="center"/>
            <w:hideMark/>
          </w:tcPr>
          <w:p w14:paraId="262A6939"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6</w:t>
            </w:r>
          </w:p>
        </w:tc>
        <w:tc>
          <w:tcPr>
            <w:tcW w:w="1555" w:type="dxa"/>
            <w:vAlign w:val="center"/>
            <w:hideMark/>
          </w:tcPr>
          <w:p w14:paraId="441368A7"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1.1</w:t>
            </w:r>
          </w:p>
        </w:tc>
      </w:tr>
      <w:tr w:rsidR="003F16FF" w:rsidRPr="00552838" w14:paraId="1E433F8F" w14:textId="77777777" w:rsidTr="00F41B5B">
        <w:trPr>
          <w:trHeight w:val="307"/>
          <w:tblCellSpacing w:w="15" w:type="dxa"/>
        </w:trPr>
        <w:tc>
          <w:tcPr>
            <w:tcW w:w="0" w:type="auto"/>
            <w:vAlign w:val="center"/>
            <w:hideMark/>
          </w:tcPr>
          <w:p w14:paraId="766C51CB"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Steroids</w:t>
            </w:r>
          </w:p>
        </w:tc>
        <w:tc>
          <w:tcPr>
            <w:tcW w:w="3272" w:type="dxa"/>
            <w:vAlign w:val="center"/>
            <w:hideMark/>
          </w:tcPr>
          <w:p w14:paraId="348AC252"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5</w:t>
            </w:r>
          </w:p>
        </w:tc>
        <w:tc>
          <w:tcPr>
            <w:tcW w:w="1555" w:type="dxa"/>
            <w:vAlign w:val="center"/>
            <w:hideMark/>
          </w:tcPr>
          <w:p w14:paraId="4A4D9B15"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0.9</w:t>
            </w:r>
          </w:p>
        </w:tc>
      </w:tr>
      <w:tr w:rsidR="003F16FF" w:rsidRPr="00552838" w14:paraId="0DD23C51" w14:textId="77777777" w:rsidTr="00F41B5B">
        <w:trPr>
          <w:trHeight w:val="307"/>
          <w:tblCellSpacing w:w="15" w:type="dxa"/>
        </w:trPr>
        <w:tc>
          <w:tcPr>
            <w:tcW w:w="0" w:type="auto"/>
            <w:vAlign w:val="center"/>
            <w:hideMark/>
          </w:tcPr>
          <w:p w14:paraId="14EA1D01"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Herbal preparations</w:t>
            </w:r>
          </w:p>
        </w:tc>
        <w:tc>
          <w:tcPr>
            <w:tcW w:w="3272" w:type="dxa"/>
            <w:vAlign w:val="center"/>
            <w:hideMark/>
          </w:tcPr>
          <w:p w14:paraId="746770D9"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4</w:t>
            </w:r>
          </w:p>
        </w:tc>
        <w:tc>
          <w:tcPr>
            <w:tcW w:w="1555" w:type="dxa"/>
            <w:vAlign w:val="center"/>
            <w:hideMark/>
          </w:tcPr>
          <w:p w14:paraId="3F612B98"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0.8</w:t>
            </w:r>
          </w:p>
        </w:tc>
      </w:tr>
      <w:tr w:rsidR="003F16FF" w:rsidRPr="00552838" w14:paraId="26B693A5" w14:textId="77777777" w:rsidTr="00F41B5B">
        <w:trPr>
          <w:trHeight w:val="307"/>
          <w:tblCellSpacing w:w="15" w:type="dxa"/>
        </w:trPr>
        <w:tc>
          <w:tcPr>
            <w:tcW w:w="0" w:type="auto"/>
            <w:vAlign w:val="center"/>
            <w:hideMark/>
          </w:tcPr>
          <w:p w14:paraId="55609796"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Bronchodilators</w:t>
            </w:r>
          </w:p>
        </w:tc>
        <w:tc>
          <w:tcPr>
            <w:tcW w:w="3272" w:type="dxa"/>
            <w:vAlign w:val="center"/>
            <w:hideMark/>
          </w:tcPr>
          <w:p w14:paraId="75A43D1D"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2</w:t>
            </w:r>
          </w:p>
        </w:tc>
        <w:tc>
          <w:tcPr>
            <w:tcW w:w="1555" w:type="dxa"/>
            <w:vAlign w:val="center"/>
            <w:hideMark/>
          </w:tcPr>
          <w:p w14:paraId="38C989C1"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0.4</w:t>
            </w:r>
          </w:p>
        </w:tc>
      </w:tr>
      <w:tr w:rsidR="003F16FF" w:rsidRPr="00552838" w14:paraId="66A582B4" w14:textId="77777777" w:rsidTr="00F41B5B">
        <w:trPr>
          <w:trHeight w:val="299"/>
          <w:tblCellSpacing w:w="15" w:type="dxa"/>
        </w:trPr>
        <w:tc>
          <w:tcPr>
            <w:tcW w:w="0" w:type="auto"/>
            <w:vAlign w:val="center"/>
            <w:hideMark/>
          </w:tcPr>
          <w:p w14:paraId="454AF550"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Antispasmodics</w:t>
            </w:r>
          </w:p>
        </w:tc>
        <w:tc>
          <w:tcPr>
            <w:tcW w:w="3272" w:type="dxa"/>
            <w:vAlign w:val="center"/>
            <w:hideMark/>
          </w:tcPr>
          <w:p w14:paraId="67B1C5C4"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2</w:t>
            </w:r>
          </w:p>
        </w:tc>
        <w:tc>
          <w:tcPr>
            <w:tcW w:w="1555" w:type="dxa"/>
            <w:vAlign w:val="center"/>
            <w:hideMark/>
          </w:tcPr>
          <w:p w14:paraId="29FCE9E3"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0.4</w:t>
            </w:r>
          </w:p>
        </w:tc>
      </w:tr>
      <w:tr w:rsidR="003F16FF" w:rsidRPr="00552838" w14:paraId="3105084C" w14:textId="77777777" w:rsidTr="00F41B5B">
        <w:trPr>
          <w:trHeight w:val="299"/>
          <w:tblCellSpacing w:w="15" w:type="dxa"/>
        </w:trPr>
        <w:tc>
          <w:tcPr>
            <w:tcW w:w="0" w:type="auto"/>
            <w:vAlign w:val="center"/>
            <w:hideMark/>
          </w:tcPr>
          <w:p w14:paraId="76941A0A"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Antifungal drugs</w:t>
            </w:r>
          </w:p>
        </w:tc>
        <w:tc>
          <w:tcPr>
            <w:tcW w:w="3272" w:type="dxa"/>
            <w:vAlign w:val="center"/>
            <w:hideMark/>
          </w:tcPr>
          <w:p w14:paraId="2AB7EBFE"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1</w:t>
            </w:r>
          </w:p>
        </w:tc>
        <w:tc>
          <w:tcPr>
            <w:tcW w:w="1555" w:type="dxa"/>
            <w:vAlign w:val="center"/>
            <w:hideMark/>
          </w:tcPr>
          <w:p w14:paraId="6CE53A93" w14:textId="77777777" w:rsidR="003F16FF" w:rsidRPr="00552838" w:rsidRDefault="003F16FF" w:rsidP="003F16FF">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0.2</w:t>
            </w:r>
          </w:p>
        </w:tc>
      </w:tr>
    </w:tbl>
    <w:p w14:paraId="67784BF3" w14:textId="77777777" w:rsidR="00253B94" w:rsidRPr="00552838" w:rsidRDefault="00253B94" w:rsidP="00253B94">
      <w:pPr>
        <w:spacing w:after="0" w:line="240" w:lineRule="auto"/>
        <w:jc w:val="both"/>
        <w:rPr>
          <w:rFonts w:ascii="Times New Roman" w:hAnsi="Times New Roman" w:cs="Times New Roman"/>
          <w:color w:val="000000" w:themeColor="text1"/>
        </w:rPr>
      </w:pPr>
    </w:p>
    <w:bookmarkEnd w:id="3"/>
    <w:p w14:paraId="17E82230" w14:textId="198B5822" w:rsidR="00253B94" w:rsidRPr="00552838" w:rsidRDefault="00253B94" w:rsidP="00253B94">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 xml:space="preserve">Comparative analysis of medication use between urban and rural respondents demonstrates a consistently higher tendency toward </w:t>
      </w:r>
      <w:r w:rsidR="00EA1948" w:rsidRPr="00552838">
        <w:rPr>
          <w:rFonts w:ascii="Times New Roman" w:hAnsi="Times New Roman" w:cs="Times New Roman"/>
          <w:color w:val="000000" w:themeColor="text1"/>
        </w:rPr>
        <w:t>self-medication</w:t>
      </w:r>
      <w:r w:rsidRPr="00552838">
        <w:rPr>
          <w:rFonts w:ascii="Times New Roman" w:hAnsi="Times New Roman" w:cs="Times New Roman"/>
          <w:color w:val="000000" w:themeColor="text1"/>
        </w:rPr>
        <w:t xml:space="preserve"> among individuals residing in rural areas for most medicine groups. Antibiotic use was notably higher in the rural population compared to the urban population, indicating a greater reliance on antibiotics without prescription in rural settings. A similar pattern was observed for non-steroidal anti-inflammatory drugs (NSAIDs), where rural respondents showed higher usage than their urban counterparts.</w:t>
      </w:r>
      <w:r w:rsidR="001C6E93" w:rsidRPr="00552838">
        <w:rPr>
          <w:rFonts w:ascii="Times New Roman" w:hAnsi="Times New Roman" w:cs="Times New Roman"/>
          <w:color w:val="000000" w:themeColor="text1"/>
        </w:rPr>
        <w:t xml:space="preserve"> </w:t>
      </w:r>
      <w:r w:rsidRPr="00552838">
        <w:rPr>
          <w:rFonts w:ascii="Times New Roman" w:hAnsi="Times New Roman" w:cs="Times New Roman"/>
          <w:color w:val="000000" w:themeColor="text1"/>
        </w:rPr>
        <w:t>Proton pump inhibitors and H2 blockers were also more frequently used in rural areas, suggesting increased self-management of gastrointestinal symptoms among rural respondents. Antihistamines and cough preparations followed the same trend, with rural usage exceeding urban usage, reflecting a higher prevalence of self-treatment for allergic and respiratory conditions in rural communities.</w:t>
      </w:r>
    </w:p>
    <w:p w14:paraId="3F7451DF" w14:textId="16901EA2" w:rsidR="00253B94" w:rsidRPr="00552838" w:rsidRDefault="00253B94" w:rsidP="00253B94">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In contrast, urban respondents showed relatively comparable or slightly higher use of certain medications such as eye drops, topical skin preparations, and vitamins; however, the overall differences remained modest. Less frequently used medication groups</w:t>
      </w:r>
      <w:r w:rsidR="001C6E93" w:rsidRPr="00552838">
        <w:rPr>
          <w:rFonts w:ascii="Times New Roman" w:hAnsi="Times New Roman" w:cs="Times New Roman"/>
          <w:color w:val="000000" w:themeColor="text1"/>
        </w:rPr>
        <w:t xml:space="preserve"> </w:t>
      </w:r>
      <w:r w:rsidRPr="00552838">
        <w:rPr>
          <w:rFonts w:ascii="Times New Roman" w:hAnsi="Times New Roman" w:cs="Times New Roman"/>
          <w:color w:val="000000" w:themeColor="text1"/>
        </w:rPr>
        <w:t>including antidiabetic drugs, antihypertensives, antispasmodics, bronchodilators, and antifungal agents</w:t>
      </w:r>
      <w:r w:rsidR="001C6E93" w:rsidRPr="00552838">
        <w:rPr>
          <w:rFonts w:ascii="Times New Roman" w:hAnsi="Times New Roman" w:cs="Times New Roman"/>
          <w:color w:val="000000" w:themeColor="text1"/>
        </w:rPr>
        <w:t xml:space="preserve"> </w:t>
      </w:r>
      <w:r w:rsidRPr="00552838">
        <w:rPr>
          <w:rFonts w:ascii="Times New Roman" w:hAnsi="Times New Roman" w:cs="Times New Roman"/>
          <w:color w:val="000000" w:themeColor="text1"/>
        </w:rPr>
        <w:t>were reported at low levels in both settings, though rural use remained marginally higher in most categories.</w:t>
      </w:r>
    </w:p>
    <w:p w14:paraId="7FCFACF2" w14:textId="2D7C2776" w:rsidR="001D3F96" w:rsidRPr="006A5EB5" w:rsidRDefault="00253B94" w:rsidP="006B348E">
      <w:pPr>
        <w:spacing w:after="0" w:line="240" w:lineRule="auto"/>
        <w:jc w:val="both"/>
        <w:rPr>
          <w:rFonts w:ascii="Times New Roman" w:hAnsi="Times New Roman" w:cs="Times New Roman"/>
          <w:color w:val="000000" w:themeColor="text1"/>
        </w:rPr>
      </w:pPr>
      <w:r w:rsidRPr="00552838">
        <w:rPr>
          <w:rFonts w:ascii="Times New Roman" w:hAnsi="Times New Roman" w:cs="Times New Roman"/>
          <w:color w:val="000000" w:themeColor="text1"/>
        </w:rPr>
        <w:t xml:space="preserve">Overall, the findings indicate that rural populations exhibit a greater inclination toward </w:t>
      </w:r>
      <w:r w:rsidR="00EA1948" w:rsidRPr="00552838">
        <w:rPr>
          <w:rFonts w:ascii="Times New Roman" w:hAnsi="Times New Roman" w:cs="Times New Roman"/>
          <w:color w:val="000000" w:themeColor="text1"/>
        </w:rPr>
        <w:t>self-medication</w:t>
      </w:r>
      <w:r w:rsidRPr="00552838">
        <w:rPr>
          <w:rFonts w:ascii="Times New Roman" w:hAnsi="Times New Roman" w:cs="Times New Roman"/>
          <w:color w:val="000000" w:themeColor="text1"/>
        </w:rPr>
        <w:t xml:space="preserve"> across multiple therapeutic categories, particularly for antibiotics, NSAIDs, and acid-suppressing drugs, compared to urban populations.</w:t>
      </w:r>
      <w:r w:rsidR="0099029C" w:rsidRPr="00552838">
        <w:rPr>
          <w:rFonts w:ascii="Times New Roman" w:hAnsi="Times New Roman" w:cs="Times New Roman"/>
          <w:color w:val="000000" w:themeColor="text1"/>
        </w:rPr>
        <w:t xml:space="preserve"> A higher proportion of antibiotic </w:t>
      </w:r>
      <w:r w:rsidR="00EA1948" w:rsidRPr="00552838">
        <w:rPr>
          <w:rFonts w:ascii="Times New Roman" w:hAnsi="Times New Roman" w:cs="Times New Roman"/>
          <w:color w:val="000000" w:themeColor="text1"/>
        </w:rPr>
        <w:t>self-medication</w:t>
      </w:r>
      <w:r w:rsidR="0099029C" w:rsidRPr="00552838">
        <w:rPr>
          <w:rFonts w:ascii="Times New Roman" w:hAnsi="Times New Roman" w:cs="Times New Roman"/>
          <w:color w:val="000000" w:themeColor="text1"/>
        </w:rPr>
        <w:t xml:space="preserve"> was observed among rural respondents than</w:t>
      </w:r>
      <w:r w:rsidR="0099029C" w:rsidRPr="0099029C">
        <w:rPr>
          <w:rFonts w:ascii="Times New Roman" w:hAnsi="Times New Roman" w:cs="Times New Roman"/>
          <w:color w:val="000000" w:themeColor="text1"/>
        </w:rPr>
        <w:t xml:space="preserve"> </w:t>
      </w:r>
      <w:r w:rsidR="0099029C" w:rsidRPr="006A5EB5">
        <w:rPr>
          <w:rFonts w:ascii="Times New Roman" w:hAnsi="Times New Roman" w:cs="Times New Roman"/>
          <w:color w:val="000000" w:themeColor="text1"/>
        </w:rPr>
        <w:lastRenderedPageBreak/>
        <w:t>urban respondents (68% vs. 32%), with chi-square analysis indicating a significant association between place of residence and antibiotic use (p &lt; 0.05).</w:t>
      </w:r>
    </w:p>
    <w:p w14:paraId="76E20B77" w14:textId="058D6778" w:rsidR="00385B18" w:rsidRPr="006A5EB5" w:rsidRDefault="00365636" w:rsidP="00365636">
      <w:pPr>
        <w:spacing w:after="0" w:line="240" w:lineRule="auto"/>
        <w:rPr>
          <w:rFonts w:ascii="Times New Roman" w:hAnsi="Times New Roman" w:cs="Times New Roman"/>
          <w:color w:val="000000" w:themeColor="text1"/>
        </w:rPr>
      </w:pPr>
      <w:r w:rsidRPr="006A5EB5">
        <w:rPr>
          <w:rFonts w:ascii="Times New Roman" w:hAnsi="Times New Roman" w:cs="Times New Roman"/>
          <w:noProof/>
          <w:color w:val="000000" w:themeColor="text1"/>
        </w:rPr>
        <w:drawing>
          <wp:inline distT="0" distB="0" distL="0" distR="0" wp14:anchorId="1CC71760" wp14:editId="35041975">
            <wp:extent cx="6557077" cy="5829300"/>
            <wp:effectExtent l="0" t="0" r="0" b="0"/>
            <wp:docPr id="18688302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30262" name="Picture 186883026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87710" cy="5856533"/>
                    </a:xfrm>
                    <a:prstGeom prst="rect">
                      <a:avLst/>
                    </a:prstGeom>
                  </pic:spPr>
                </pic:pic>
              </a:graphicData>
            </a:graphic>
          </wp:inline>
        </w:drawing>
      </w:r>
    </w:p>
    <w:p w14:paraId="4DF7F505" w14:textId="73E62D3F" w:rsidR="00CF69D3" w:rsidRPr="006A5EB5" w:rsidRDefault="00CF69D3" w:rsidP="006B348E">
      <w:pPr>
        <w:spacing w:after="0" w:line="240" w:lineRule="auto"/>
        <w:jc w:val="both"/>
        <w:rPr>
          <w:rFonts w:ascii="Times New Roman" w:hAnsi="Times New Roman" w:cs="Times New Roman"/>
          <w:color w:val="000000" w:themeColor="text1"/>
        </w:rPr>
      </w:pPr>
      <w:r w:rsidRPr="006A5EB5">
        <w:rPr>
          <w:rFonts w:ascii="Times New Roman" w:hAnsi="Times New Roman" w:cs="Times New Roman"/>
          <w:b/>
          <w:bCs/>
          <w:color w:val="000000" w:themeColor="text1"/>
        </w:rPr>
        <w:t>Figure 3</w:t>
      </w:r>
      <w:r w:rsidR="0027608B" w:rsidRPr="006A5EB5">
        <w:rPr>
          <w:rFonts w:ascii="Times New Roman" w:hAnsi="Times New Roman" w:cs="Times New Roman"/>
          <w:b/>
          <w:bCs/>
          <w:color w:val="000000" w:themeColor="text1"/>
        </w:rPr>
        <w:t>:</w:t>
      </w:r>
      <w:r w:rsidRPr="006A5EB5">
        <w:rPr>
          <w:rFonts w:ascii="Times New Roman" w:hAnsi="Times New Roman" w:cs="Times New Roman"/>
          <w:b/>
          <w:bCs/>
          <w:color w:val="000000" w:themeColor="text1"/>
        </w:rPr>
        <w:t xml:space="preserve"> </w:t>
      </w:r>
      <w:r w:rsidRPr="006A5EB5">
        <w:rPr>
          <w:rFonts w:ascii="Times New Roman" w:hAnsi="Times New Roman" w:cs="Times New Roman"/>
          <w:color w:val="000000" w:themeColor="text1"/>
        </w:rPr>
        <w:t>Comparative distribution of self-medicated drug categories in urban and rural populations</w:t>
      </w:r>
      <w:r w:rsidR="00C1144C" w:rsidRPr="006A5EB5">
        <w:rPr>
          <w:rFonts w:ascii="Times New Roman" w:hAnsi="Times New Roman" w:cs="Times New Roman"/>
          <w:color w:val="000000" w:themeColor="text1"/>
        </w:rPr>
        <w:t>. The</w:t>
      </w:r>
      <w:r w:rsidRPr="006A5EB5">
        <w:rPr>
          <w:rFonts w:ascii="Times New Roman" w:hAnsi="Times New Roman" w:cs="Times New Roman"/>
          <w:color w:val="000000" w:themeColor="text1"/>
        </w:rPr>
        <w:t xml:space="preserve"> percentage distribution of commonly self-medicated drug categories among urban and rural respondents. Higher use of antibiotics, NSAIDs, and proton pump inhibitors was observed in rural areas compared to urban areas. Urban respondents showed relatively lower but comparable use across most medication groups. The findings highlight notable rural and urban differences in </w:t>
      </w:r>
      <w:r w:rsidR="00EA1948" w:rsidRPr="006A5EB5">
        <w:rPr>
          <w:rFonts w:ascii="Times New Roman" w:hAnsi="Times New Roman" w:cs="Times New Roman"/>
          <w:color w:val="000000" w:themeColor="text1"/>
        </w:rPr>
        <w:t>self-medication</w:t>
      </w:r>
      <w:r w:rsidRPr="006A5EB5">
        <w:rPr>
          <w:rFonts w:ascii="Times New Roman" w:hAnsi="Times New Roman" w:cs="Times New Roman"/>
          <w:color w:val="000000" w:themeColor="text1"/>
        </w:rPr>
        <w:t xml:space="preserve"> practices, particularly for analgesics and gastrointestinal medications.</w:t>
      </w:r>
    </w:p>
    <w:p w14:paraId="6577B59D" w14:textId="77777777" w:rsidR="0033346C" w:rsidRPr="006A5EB5" w:rsidRDefault="0033346C" w:rsidP="0033346C">
      <w:pPr>
        <w:pStyle w:val="Heading3"/>
        <w:spacing w:after="240" w:line="240" w:lineRule="auto"/>
        <w:rPr>
          <w:color w:val="000000" w:themeColor="text1"/>
          <w:sz w:val="32"/>
          <w:szCs w:val="32"/>
        </w:rPr>
      </w:pPr>
      <w:r w:rsidRPr="006A5EB5">
        <w:rPr>
          <w:color w:val="000000" w:themeColor="text1"/>
          <w:sz w:val="32"/>
          <w:szCs w:val="32"/>
        </w:rPr>
        <w:t>Discussion</w:t>
      </w:r>
    </w:p>
    <w:p w14:paraId="7850F6E8" w14:textId="3093DF2B" w:rsidR="006F475E" w:rsidRPr="00F45BCB" w:rsidRDefault="006F475E" w:rsidP="006F475E">
      <w:pPr>
        <w:spacing w:after="0" w:line="240" w:lineRule="auto"/>
        <w:jc w:val="both"/>
        <w:rPr>
          <w:rFonts w:ascii="Times New Roman" w:hAnsi="Times New Roman" w:cs="Times New Roman"/>
          <w:color w:val="3333FF"/>
        </w:rPr>
      </w:pPr>
      <w:r w:rsidRPr="006F475E">
        <w:rPr>
          <w:rFonts w:ascii="Times New Roman" w:hAnsi="Times New Roman" w:cs="Times New Roman"/>
          <w:color w:val="000000" w:themeColor="text1"/>
        </w:rPr>
        <w:t xml:space="preserve">Comparing results of this study with those of other studies conducted in other countries seems somewhat difficult due to differences in cultures, health care systems, and the roles of community pharmacies. </w:t>
      </w:r>
      <w:r w:rsidR="00F45BCB" w:rsidRPr="00F45BCB">
        <w:rPr>
          <w:rFonts w:ascii="Times New Roman" w:hAnsi="Times New Roman" w:cs="Times New Roman"/>
          <w:color w:val="3333FF"/>
        </w:rPr>
        <w:t>This study found that male respondents practiced self-medication to a larger extent than females, which may partly reflect greater male availability in public and community settings where the survey was conducted, as well as men’s more visible role in medicine purchasing from retail pharmacies. This result is consistent with the findings of another study (Jasim et al., 2014) and contradicts other studies (Carrasco et al., 2009; Chua et al., 2011)</w:t>
      </w:r>
      <w:r w:rsidRPr="00F45BCB">
        <w:rPr>
          <w:rFonts w:ascii="Times New Roman" w:hAnsi="Times New Roman" w:cs="Times New Roman"/>
          <w:color w:val="3333FF"/>
        </w:rPr>
        <w:t>.</w:t>
      </w:r>
    </w:p>
    <w:p w14:paraId="551D2BC6"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5B2530C2" w14:textId="64424214"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This study indicated that about 98% of the study population were 15</w:t>
      </w:r>
      <w:r w:rsidR="003E1E75">
        <w:rPr>
          <w:rFonts w:ascii="Times New Roman" w:hAnsi="Times New Roman" w:cs="Times New Roman"/>
          <w:color w:val="000000" w:themeColor="text1"/>
        </w:rPr>
        <w:t>-</w:t>
      </w:r>
      <w:r w:rsidRPr="006F475E">
        <w:rPr>
          <w:rFonts w:ascii="Times New Roman" w:hAnsi="Times New Roman" w:cs="Times New Roman"/>
          <w:color w:val="000000" w:themeColor="text1"/>
        </w:rPr>
        <w:t xml:space="preserve">60 years old, which seems logical since individuals in this age group have a greater ability than older individuals to move and seek medications, due to </w:t>
      </w:r>
      <w:r w:rsidRPr="006F475E">
        <w:rPr>
          <w:rFonts w:ascii="Times New Roman" w:hAnsi="Times New Roman" w:cs="Times New Roman"/>
          <w:color w:val="000000" w:themeColor="text1"/>
        </w:rPr>
        <w:lastRenderedPageBreak/>
        <w:t xml:space="preserve">fewer incidences of joint or cardiovascular diseases compared to older people (Kaye et al., 2010; </w:t>
      </w:r>
      <w:proofErr w:type="spellStart"/>
      <w:r w:rsidRPr="006F475E">
        <w:rPr>
          <w:rFonts w:ascii="Times New Roman" w:hAnsi="Times New Roman" w:cs="Times New Roman"/>
          <w:color w:val="000000" w:themeColor="text1"/>
        </w:rPr>
        <w:t>Lakatta</w:t>
      </w:r>
      <w:proofErr w:type="spellEnd"/>
      <w:r w:rsidRPr="006F475E">
        <w:rPr>
          <w:rFonts w:ascii="Times New Roman" w:hAnsi="Times New Roman" w:cs="Times New Roman"/>
          <w:color w:val="000000" w:themeColor="text1"/>
        </w:rPr>
        <w:t>, 2002; North et al., 2012).</w:t>
      </w:r>
    </w:p>
    <w:p w14:paraId="3CCC568C"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06210B0F" w14:textId="77777777"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In this study, most respondents were married, which may be attributed to religious and traditional considerations that encourage marriage at younger ages.</w:t>
      </w:r>
    </w:p>
    <w:p w14:paraId="3CB1FBE4"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13193192" w14:textId="508B2BA2"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About two-thirds of the study population ranked their monthly income as less than good. This result is consistent with other studies conducted in developing countries, which found that </w:t>
      </w:r>
      <w:proofErr w:type="gramStart"/>
      <w:r w:rsidRPr="006F475E">
        <w:rPr>
          <w:rFonts w:ascii="Times New Roman" w:hAnsi="Times New Roman" w:cs="Times New Roman"/>
          <w:color w:val="000000" w:themeColor="text1"/>
        </w:rPr>
        <w:t>the majority of</w:t>
      </w:r>
      <w:proofErr w:type="gramEnd"/>
      <w:r w:rsidRPr="006F475E">
        <w:rPr>
          <w:rFonts w:ascii="Times New Roman" w:hAnsi="Times New Roman" w:cs="Times New Roman"/>
          <w:color w:val="000000" w:themeColor="text1"/>
        </w:rPr>
        <w:t xml:space="preserve"> the population practicing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belonged to a low economic status group (Worku et al., 2003).</w:t>
      </w:r>
    </w:p>
    <w:p w14:paraId="488F7C6A"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43A4C832" w14:textId="77777777"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This study demonstrated that about 71% of respondents were literate. This could be explained by the increasing percentage of educated individuals in the general population.</w:t>
      </w:r>
    </w:p>
    <w:p w14:paraId="23A11044"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74F9BBF8" w14:textId="5D6EF383"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The primary reason mentioned by 41% of respondents for practicing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was the perception of having a simple ailment that did not require physician consultation. This finding is consistent with another study, which showed that patients’ perception of their current conditions as simple illnesses was the dominant factor behind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practices (James et al., 2008).</w:t>
      </w:r>
    </w:p>
    <w:p w14:paraId="2BAD0CEF"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28D5FFC6" w14:textId="5D7B876E"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The second most common reason for practicing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among nearly two-thirds of the study population was prior experience and knowledge of treatment from similar previous ailments. This may be explained by individuals’ ability to remember medications, whether prescribed or </w:t>
      </w:r>
      <w:proofErr w:type="gramStart"/>
      <w:r w:rsidRPr="006F475E">
        <w:rPr>
          <w:rFonts w:ascii="Times New Roman" w:hAnsi="Times New Roman" w:cs="Times New Roman"/>
          <w:color w:val="000000" w:themeColor="text1"/>
        </w:rPr>
        <w:t>over-the-counter</w:t>
      </w:r>
      <w:proofErr w:type="gramEnd"/>
      <w:r w:rsidRPr="006F475E">
        <w:rPr>
          <w:rFonts w:ascii="Times New Roman" w:hAnsi="Times New Roman" w:cs="Times New Roman"/>
          <w:color w:val="000000" w:themeColor="text1"/>
        </w:rPr>
        <w:t xml:space="preserve"> (OTC), used for similar previous conditions, especially when such medications were effective in improving symptoms (</w:t>
      </w:r>
      <w:proofErr w:type="spellStart"/>
      <w:r w:rsidRPr="006F475E">
        <w:rPr>
          <w:rFonts w:ascii="Times New Roman" w:hAnsi="Times New Roman" w:cs="Times New Roman"/>
          <w:color w:val="000000" w:themeColor="text1"/>
        </w:rPr>
        <w:t>Widayati</w:t>
      </w:r>
      <w:proofErr w:type="spellEnd"/>
      <w:r w:rsidRPr="006F475E">
        <w:rPr>
          <w:rFonts w:ascii="Times New Roman" w:hAnsi="Times New Roman" w:cs="Times New Roman"/>
          <w:color w:val="000000" w:themeColor="text1"/>
        </w:rPr>
        <w:t xml:space="preserve"> et al., 2011).</w:t>
      </w:r>
    </w:p>
    <w:p w14:paraId="34C20554"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12533C6A" w14:textId="227AFA3D"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The most important source of information for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reported in this study was retail dispensers, who are licensed to sell medicines but not to prescribe them.</w:t>
      </w:r>
    </w:p>
    <w:p w14:paraId="1E415A45"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4C30BF8A" w14:textId="1793D08C"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The second most important source was previous prescriptions, which were reused without re-consultation. Friends and family members who had suffered from similar conditions were also identified as important sources of information. The study showed that some conditions treated through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were minor and did not require physician consultation; however, other conditions required medical supervision for appropriate evaluation and treatment.</w:t>
      </w:r>
    </w:p>
    <w:p w14:paraId="0530ED00"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4100C0A3" w14:textId="607276C3" w:rsidR="006F475E" w:rsidRPr="006F475E"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Pain (17%), fever (15%), and gastritis (15%) were the main indications for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However, some critical conditions, such as diabetes mellitus and hypertension, were also treated through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which require proper medical consultation and supervision.</w:t>
      </w:r>
    </w:p>
    <w:p w14:paraId="54EB0A6D" w14:textId="77777777" w:rsidR="006F475E" w:rsidRPr="006F475E" w:rsidRDefault="006F475E" w:rsidP="006F475E">
      <w:pPr>
        <w:spacing w:after="0" w:line="240" w:lineRule="auto"/>
        <w:jc w:val="both"/>
        <w:rPr>
          <w:rFonts w:ascii="Times New Roman" w:hAnsi="Times New Roman" w:cs="Times New Roman"/>
          <w:color w:val="000000" w:themeColor="text1"/>
        </w:rPr>
      </w:pPr>
    </w:p>
    <w:p w14:paraId="6E009FF9" w14:textId="0C739C7F" w:rsidR="0033346C" w:rsidRDefault="006F475E" w:rsidP="006F475E">
      <w:pPr>
        <w:spacing w:after="0" w:line="240" w:lineRule="auto"/>
        <w:jc w:val="both"/>
        <w:rPr>
          <w:rFonts w:ascii="Times New Roman" w:hAnsi="Times New Roman" w:cs="Times New Roman"/>
          <w:color w:val="000000" w:themeColor="text1"/>
        </w:rPr>
      </w:pPr>
      <w:r w:rsidRPr="006F475E">
        <w:rPr>
          <w:rFonts w:ascii="Times New Roman" w:hAnsi="Times New Roman" w:cs="Times New Roman"/>
          <w:color w:val="000000" w:themeColor="text1"/>
        </w:rPr>
        <w:t xml:space="preserve">Respondents used a wide range of drug classes for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Some of these drugs were available over the counter and could be dispensed based on patient requests, while others were prescription</w:t>
      </w:r>
      <w:r w:rsidR="002C4363">
        <w:rPr>
          <w:rFonts w:ascii="Times New Roman" w:hAnsi="Times New Roman" w:cs="Times New Roman"/>
          <w:color w:val="000000" w:themeColor="text1"/>
        </w:rPr>
        <w:t xml:space="preserve"> </w:t>
      </w:r>
      <w:r w:rsidRPr="006F475E">
        <w:rPr>
          <w:rFonts w:ascii="Times New Roman" w:hAnsi="Times New Roman" w:cs="Times New Roman"/>
          <w:color w:val="000000" w:themeColor="text1"/>
        </w:rPr>
        <w:t xml:space="preserve">only medications that should be used under physician supervision. </w:t>
      </w:r>
      <w:r w:rsidR="00553D7B" w:rsidRPr="00553D7B">
        <w:rPr>
          <w:rFonts w:ascii="Times New Roman" w:hAnsi="Times New Roman" w:cs="Times New Roman"/>
          <w:color w:val="3333FF"/>
        </w:rPr>
        <w:t>In the context of this study, misuse specifically denotes the use of prescription</w:t>
      </w:r>
      <w:r w:rsidR="00FB21EC">
        <w:rPr>
          <w:rFonts w:ascii="Times New Roman" w:hAnsi="Times New Roman" w:cs="Times New Roman"/>
          <w:color w:val="3333FF"/>
        </w:rPr>
        <w:t xml:space="preserve"> </w:t>
      </w:r>
      <w:r w:rsidR="00553D7B" w:rsidRPr="00553D7B">
        <w:rPr>
          <w:rFonts w:ascii="Times New Roman" w:hAnsi="Times New Roman" w:cs="Times New Roman"/>
          <w:color w:val="3333FF"/>
        </w:rPr>
        <w:t>only medicines without physician consultation and does not encompass incorrect dosing, treatment duration, or clinical appropriateness of indication, which were not assessed.</w:t>
      </w:r>
      <w:r w:rsidR="00553D7B">
        <w:rPr>
          <w:rFonts w:ascii="Times New Roman" w:hAnsi="Times New Roman" w:cs="Times New Roman"/>
          <w:color w:val="000000" w:themeColor="text1"/>
        </w:rPr>
        <w:t xml:space="preserve"> </w:t>
      </w:r>
      <w:r w:rsidRPr="006F475E">
        <w:rPr>
          <w:rFonts w:ascii="Times New Roman" w:hAnsi="Times New Roman" w:cs="Times New Roman"/>
          <w:color w:val="000000" w:themeColor="text1"/>
        </w:rPr>
        <w:t xml:space="preserve">Approximately 14% of the study population reported using antibiotics without prescription. Among antibiotic users, 32% were from urban areas, whereas 68% were from rural areas. This higher use in rural areas may reflect limited access to healthcare facilities and delayed physician consultation. Additionally, the use of sedatives (5%) and cough preparations (2%) raises concerns regarding potential misuse. The </w:t>
      </w:r>
      <w:r w:rsidR="00EA1948">
        <w:rPr>
          <w:rFonts w:ascii="Times New Roman" w:hAnsi="Times New Roman" w:cs="Times New Roman"/>
          <w:color w:val="000000" w:themeColor="text1"/>
        </w:rPr>
        <w:t>self-medication</w:t>
      </w:r>
      <w:r w:rsidRPr="006F475E">
        <w:rPr>
          <w:rFonts w:ascii="Times New Roman" w:hAnsi="Times New Roman" w:cs="Times New Roman"/>
          <w:color w:val="000000" w:themeColor="text1"/>
        </w:rPr>
        <w:t xml:space="preserve"> use of antidiabetic (2%) and antihypertensive drugs (3%), often sourced from retail dispensers or previous prescriptions, also poses significant health risks.</w:t>
      </w:r>
    </w:p>
    <w:p w14:paraId="452A5B19" w14:textId="77777777" w:rsidR="00E3328B" w:rsidRDefault="00E3328B" w:rsidP="006F475E">
      <w:pPr>
        <w:spacing w:after="0" w:line="240" w:lineRule="auto"/>
        <w:jc w:val="both"/>
        <w:rPr>
          <w:rFonts w:ascii="Times New Roman" w:hAnsi="Times New Roman" w:cs="Times New Roman"/>
          <w:color w:val="000000" w:themeColor="text1"/>
        </w:rPr>
      </w:pPr>
    </w:p>
    <w:p w14:paraId="018B3F05" w14:textId="77777777" w:rsidR="00E3328B" w:rsidRPr="00E3328B" w:rsidRDefault="00E3328B" w:rsidP="00E3328B">
      <w:pPr>
        <w:spacing w:after="0" w:line="240" w:lineRule="auto"/>
        <w:jc w:val="both"/>
        <w:rPr>
          <w:rFonts w:ascii="Times New Roman" w:hAnsi="Times New Roman" w:cs="Times New Roman"/>
          <w:b/>
          <w:bCs/>
          <w:color w:val="000000" w:themeColor="text1"/>
        </w:rPr>
      </w:pPr>
      <w:r w:rsidRPr="00E3328B">
        <w:rPr>
          <w:rFonts w:ascii="Times New Roman" w:hAnsi="Times New Roman" w:cs="Times New Roman"/>
          <w:b/>
          <w:bCs/>
          <w:color w:val="000000" w:themeColor="text1"/>
        </w:rPr>
        <w:t>Study Limitations</w:t>
      </w:r>
    </w:p>
    <w:p w14:paraId="5E503C1C" w14:textId="742598EA" w:rsidR="00182E7F" w:rsidRPr="006A5EB5" w:rsidRDefault="00F45BCB" w:rsidP="0033346C">
      <w:pPr>
        <w:pStyle w:val="Heading3"/>
        <w:spacing w:before="0" w:after="0" w:line="240" w:lineRule="auto"/>
        <w:rPr>
          <w:rFonts w:eastAsiaTheme="minorHAnsi"/>
          <w:b w:val="0"/>
          <w:color w:val="000000" w:themeColor="text1"/>
          <w:sz w:val="22"/>
          <w:szCs w:val="22"/>
        </w:rPr>
      </w:pPr>
      <w:r w:rsidRPr="006A5EB5">
        <w:rPr>
          <w:rFonts w:eastAsiaTheme="minorHAnsi"/>
          <w:b w:val="0"/>
          <w:color w:val="000000" w:themeColor="text1"/>
          <w:sz w:val="22"/>
          <w:szCs w:val="22"/>
        </w:rPr>
        <w:t xml:space="preserve">This study has certain limitations. The data were self-reported and therefore subject to recall bias. </w:t>
      </w:r>
      <w:proofErr w:type="gramStart"/>
      <w:r w:rsidRPr="006A5EB5">
        <w:rPr>
          <w:rFonts w:eastAsiaTheme="minorHAnsi"/>
          <w:b w:val="0"/>
          <w:color w:val="000000" w:themeColor="text1"/>
          <w:sz w:val="22"/>
          <w:szCs w:val="22"/>
        </w:rPr>
        <w:t>The cross</w:t>
      </w:r>
      <w:proofErr w:type="gramEnd"/>
      <w:r w:rsidRPr="006A5EB5">
        <w:rPr>
          <w:rFonts w:eastAsiaTheme="minorHAnsi"/>
          <w:b w:val="0"/>
          <w:color w:val="000000" w:themeColor="text1"/>
          <w:sz w:val="22"/>
          <w:szCs w:val="22"/>
        </w:rPr>
        <w:t xml:space="preserve">-sectional design limits causal interpretation. Additionally, the study was conducted in selected districts, which may limit the generalizability of the findings to the entire population of Bangladesh. </w:t>
      </w:r>
      <w:r w:rsidRPr="006A5EB5">
        <w:rPr>
          <w:rFonts w:eastAsiaTheme="minorHAnsi"/>
          <w:b w:val="0"/>
          <w:color w:val="3333FF"/>
          <w:sz w:val="22"/>
          <w:szCs w:val="22"/>
        </w:rPr>
        <w:t>The predominance of male respondents may further limit generalizability, particularly with respect to self-medication practices among women, and should be considered when interpreting the results.</w:t>
      </w:r>
      <w:r w:rsidRPr="006A5EB5">
        <w:rPr>
          <w:rFonts w:eastAsiaTheme="minorHAnsi"/>
          <w:b w:val="0"/>
          <w:color w:val="000000" w:themeColor="text1"/>
          <w:sz w:val="22"/>
          <w:szCs w:val="22"/>
        </w:rPr>
        <w:t xml:space="preserve"> Although data were collected earlier, the findings remain relevant due to persistent self-medication practices and ongoing regulatory challenges in Bangladesh.</w:t>
      </w:r>
    </w:p>
    <w:p w14:paraId="4A114A1D" w14:textId="77777777" w:rsidR="00F45BCB" w:rsidRPr="006A5EB5" w:rsidRDefault="00F45BCB" w:rsidP="00F45BCB">
      <w:pPr>
        <w:rPr>
          <w:rFonts w:ascii="Times New Roman" w:hAnsi="Times New Roman" w:cs="Times New Roman"/>
        </w:rPr>
      </w:pPr>
    </w:p>
    <w:p w14:paraId="29061216" w14:textId="4CF140D0" w:rsidR="0033346C" w:rsidRPr="006A5EB5" w:rsidRDefault="0033346C" w:rsidP="0033346C">
      <w:pPr>
        <w:pStyle w:val="Heading3"/>
        <w:spacing w:before="0" w:after="0" w:line="240" w:lineRule="auto"/>
        <w:rPr>
          <w:color w:val="000000" w:themeColor="text1"/>
          <w:sz w:val="32"/>
          <w:szCs w:val="32"/>
        </w:rPr>
      </w:pPr>
      <w:r w:rsidRPr="006A5EB5">
        <w:rPr>
          <w:color w:val="000000" w:themeColor="text1"/>
          <w:sz w:val="32"/>
          <w:szCs w:val="32"/>
        </w:rPr>
        <w:lastRenderedPageBreak/>
        <w:t>Conclusion</w:t>
      </w:r>
      <w:r w:rsidR="00F32840" w:rsidRPr="006A5EB5">
        <w:rPr>
          <w:color w:val="000000" w:themeColor="text1"/>
          <w:sz w:val="32"/>
          <w:szCs w:val="32"/>
        </w:rPr>
        <w:t xml:space="preserve"> and Future Direction</w:t>
      </w:r>
    </w:p>
    <w:p w14:paraId="68F0AEEE" w14:textId="77777777" w:rsidR="0033346C" w:rsidRPr="006A5EB5" w:rsidRDefault="0033346C" w:rsidP="0033346C">
      <w:pPr>
        <w:spacing w:after="0" w:line="240" w:lineRule="auto"/>
        <w:jc w:val="both"/>
        <w:rPr>
          <w:rFonts w:ascii="Times New Roman" w:hAnsi="Times New Roman" w:cs="Times New Roman"/>
          <w:color w:val="000000" w:themeColor="text1"/>
          <w:sz w:val="6"/>
        </w:rPr>
      </w:pPr>
    </w:p>
    <w:p w14:paraId="178FFF23" w14:textId="6E84305A" w:rsidR="00C66369" w:rsidRPr="006A5EB5" w:rsidRDefault="00C66369" w:rsidP="00C66369">
      <w:pPr>
        <w:spacing w:after="0" w:line="240" w:lineRule="auto"/>
        <w:jc w:val="both"/>
        <w:rPr>
          <w:rFonts w:ascii="Times New Roman" w:hAnsi="Times New Roman" w:cs="Times New Roman"/>
          <w:color w:val="000000" w:themeColor="text1"/>
        </w:rPr>
      </w:pPr>
      <w:r w:rsidRPr="006A5EB5">
        <w:rPr>
          <w:rFonts w:ascii="Times New Roman" w:hAnsi="Times New Roman" w:cs="Times New Roman"/>
          <w:color w:val="000000" w:themeColor="text1"/>
        </w:rPr>
        <w:t xml:space="preserve">This study demonstrates that </w:t>
      </w:r>
      <w:r w:rsidR="00EA1948" w:rsidRPr="006A5EB5">
        <w:rPr>
          <w:rFonts w:ascii="Times New Roman" w:hAnsi="Times New Roman" w:cs="Times New Roman"/>
          <w:color w:val="000000" w:themeColor="text1"/>
        </w:rPr>
        <w:t>self-medication</w:t>
      </w:r>
      <w:r w:rsidRPr="006A5EB5">
        <w:rPr>
          <w:rFonts w:ascii="Times New Roman" w:hAnsi="Times New Roman" w:cs="Times New Roman"/>
          <w:color w:val="000000" w:themeColor="text1"/>
        </w:rPr>
        <w:t xml:space="preserve"> is a widespread practice among the general population of Bangladesh, occurring in both urban and rural communities. The findings indicate that </w:t>
      </w:r>
      <w:r w:rsidR="00EA1948" w:rsidRPr="006A5EB5">
        <w:rPr>
          <w:rFonts w:ascii="Times New Roman" w:hAnsi="Times New Roman" w:cs="Times New Roman"/>
          <w:color w:val="000000" w:themeColor="text1"/>
        </w:rPr>
        <w:t>self-medication</w:t>
      </w:r>
      <w:r w:rsidRPr="006A5EB5">
        <w:rPr>
          <w:rFonts w:ascii="Times New Roman" w:hAnsi="Times New Roman" w:cs="Times New Roman"/>
          <w:color w:val="000000" w:themeColor="text1"/>
        </w:rPr>
        <w:t xml:space="preserve"> is most prevalent among individuals aged 15–60 years and is strongly influenced by perceptions of illness as minor, previous treatment experience, and advice obtained from retail pharmacy dispensers. Despite relatively high literacy levels among respondents, inappropriate </w:t>
      </w:r>
      <w:r w:rsidR="00EA1948" w:rsidRPr="006A5EB5">
        <w:rPr>
          <w:rFonts w:ascii="Times New Roman" w:hAnsi="Times New Roman" w:cs="Times New Roman"/>
          <w:color w:val="000000" w:themeColor="text1"/>
        </w:rPr>
        <w:t>self-medication</w:t>
      </w:r>
      <w:r w:rsidRPr="006A5EB5">
        <w:rPr>
          <w:rFonts w:ascii="Times New Roman" w:hAnsi="Times New Roman" w:cs="Times New Roman"/>
          <w:color w:val="000000" w:themeColor="text1"/>
        </w:rPr>
        <w:t xml:space="preserve"> practices persisted, including the use of prescription</w:t>
      </w:r>
      <w:r w:rsidR="00F34D9C" w:rsidRPr="006A5EB5">
        <w:rPr>
          <w:rFonts w:ascii="Times New Roman" w:hAnsi="Times New Roman" w:cs="Times New Roman"/>
          <w:color w:val="000000" w:themeColor="text1"/>
        </w:rPr>
        <w:t xml:space="preserve"> </w:t>
      </w:r>
      <w:r w:rsidRPr="006A5EB5">
        <w:rPr>
          <w:rFonts w:ascii="Times New Roman" w:hAnsi="Times New Roman" w:cs="Times New Roman"/>
          <w:color w:val="000000" w:themeColor="text1"/>
        </w:rPr>
        <w:t>only medicines such as antibiotics, sedatives, antihypertensive, and antidiabetic drugs without professional consultation. A notable rural urban disparity was observed, with rural populations exhibiting higher reliance on antibiotics and other prescription medicines, likely reflecting limited access to qualified healthcare services and greater dependence on nonprofessional dispensers. The predominant use of analgesics, acid-suppressing drugs, and antibiotics raises significant public health concerns, particularly regarding antimicrobial resistance, drug misuse, and delayed diagnosis of chronic diseases. Overall, the findings highlight gaps in regulatory enforcement, public awareness, and pharmacy practice that contribute to unsafe medication behaviors.</w:t>
      </w:r>
    </w:p>
    <w:p w14:paraId="4DC2F250" w14:textId="77777777" w:rsidR="00C66369" w:rsidRPr="006A5EB5" w:rsidRDefault="00C66369" w:rsidP="00C66369">
      <w:pPr>
        <w:spacing w:after="0" w:line="240" w:lineRule="auto"/>
        <w:jc w:val="both"/>
        <w:rPr>
          <w:rFonts w:ascii="Times New Roman" w:hAnsi="Times New Roman" w:cs="Times New Roman"/>
          <w:color w:val="000000" w:themeColor="text1"/>
        </w:rPr>
      </w:pPr>
    </w:p>
    <w:p w14:paraId="4AD6BCEE" w14:textId="77777777" w:rsidR="00C66369" w:rsidRPr="006A5EB5" w:rsidRDefault="00C66369" w:rsidP="00C66369">
      <w:pPr>
        <w:spacing w:after="0" w:line="240" w:lineRule="auto"/>
        <w:jc w:val="both"/>
        <w:rPr>
          <w:rFonts w:ascii="Times New Roman" w:hAnsi="Times New Roman" w:cs="Times New Roman"/>
          <w:color w:val="000000" w:themeColor="text1"/>
        </w:rPr>
      </w:pPr>
      <w:r w:rsidRPr="006A5EB5">
        <w:rPr>
          <w:rFonts w:ascii="Times New Roman" w:hAnsi="Times New Roman" w:cs="Times New Roman"/>
          <w:color w:val="000000" w:themeColor="text1"/>
        </w:rPr>
        <w:t>Future efforts should focus on strengthening regulatory control over the dispensing of prescription-only medicines, particularly antibiotics, through stricter enforcement of existing drug laws and enhanced monitoring of retail pharmacy practices. Capacity building and formal training for retail pharmacy dispensers are essential to promote rational medicine use and appropriate referral to qualified healthcare professionals.</w:t>
      </w:r>
    </w:p>
    <w:p w14:paraId="2B1AD672" w14:textId="77777777" w:rsidR="00C66369" w:rsidRPr="006A5EB5" w:rsidRDefault="00C66369" w:rsidP="00C66369">
      <w:pPr>
        <w:spacing w:after="0" w:line="240" w:lineRule="auto"/>
        <w:jc w:val="both"/>
        <w:rPr>
          <w:rFonts w:ascii="Times New Roman" w:hAnsi="Times New Roman" w:cs="Times New Roman"/>
          <w:color w:val="000000" w:themeColor="text1"/>
        </w:rPr>
      </w:pPr>
    </w:p>
    <w:p w14:paraId="73FA5EC3" w14:textId="03C84019" w:rsidR="00F32840" w:rsidRPr="006A5EB5" w:rsidRDefault="00C66369" w:rsidP="00C66369">
      <w:pPr>
        <w:spacing w:after="0" w:line="240" w:lineRule="auto"/>
        <w:jc w:val="both"/>
        <w:rPr>
          <w:rFonts w:ascii="Times New Roman" w:hAnsi="Times New Roman" w:cs="Times New Roman"/>
          <w:color w:val="000000" w:themeColor="text1"/>
        </w:rPr>
      </w:pPr>
      <w:r w:rsidRPr="006A5EB5">
        <w:rPr>
          <w:rFonts w:ascii="Times New Roman" w:hAnsi="Times New Roman" w:cs="Times New Roman"/>
          <w:color w:val="000000" w:themeColor="text1"/>
        </w:rPr>
        <w:t xml:space="preserve">Public health education campaigns targeting both urban and rural populations should be implemented to improve awareness of the risks associated with inappropriate </w:t>
      </w:r>
      <w:r w:rsidR="00EA1948" w:rsidRPr="006A5EB5">
        <w:rPr>
          <w:rFonts w:ascii="Times New Roman" w:hAnsi="Times New Roman" w:cs="Times New Roman"/>
          <w:color w:val="000000" w:themeColor="text1"/>
        </w:rPr>
        <w:t>self-medication</w:t>
      </w:r>
      <w:r w:rsidRPr="006A5EB5">
        <w:rPr>
          <w:rFonts w:ascii="Times New Roman" w:hAnsi="Times New Roman" w:cs="Times New Roman"/>
          <w:color w:val="000000" w:themeColor="text1"/>
        </w:rPr>
        <w:t xml:space="preserve">, especially for chronic and infectious diseases. Further research using longitudinal and intervention-based study designs is recommended to assess causal factors and evaluate the effectiveness of policy and educational interventions. Integrating pharmacists more effectively into primary healthcare services and expanding access to affordable medical consultation, particularly in rural areas, may play a critical role in reducing unsafe </w:t>
      </w:r>
      <w:r w:rsidR="00EA1948" w:rsidRPr="006A5EB5">
        <w:rPr>
          <w:rFonts w:ascii="Times New Roman" w:hAnsi="Times New Roman" w:cs="Times New Roman"/>
          <w:color w:val="000000" w:themeColor="text1"/>
        </w:rPr>
        <w:t>self-medication</w:t>
      </w:r>
      <w:r w:rsidRPr="006A5EB5">
        <w:rPr>
          <w:rFonts w:ascii="Times New Roman" w:hAnsi="Times New Roman" w:cs="Times New Roman"/>
          <w:color w:val="000000" w:themeColor="text1"/>
        </w:rPr>
        <w:t xml:space="preserve"> practices in Bangladesh.</w:t>
      </w:r>
    </w:p>
    <w:p w14:paraId="3AD85994" w14:textId="77777777" w:rsidR="00614B46" w:rsidRPr="006A5EB5" w:rsidRDefault="00614B46" w:rsidP="0033346C">
      <w:pPr>
        <w:spacing w:after="0" w:line="240" w:lineRule="auto"/>
        <w:jc w:val="both"/>
        <w:rPr>
          <w:rFonts w:ascii="Times New Roman" w:hAnsi="Times New Roman" w:cs="Times New Roman"/>
          <w:color w:val="FF0000"/>
        </w:rPr>
      </w:pPr>
    </w:p>
    <w:p w14:paraId="0FC1D200" w14:textId="788BC595" w:rsidR="00131412" w:rsidRPr="006A5EB5" w:rsidRDefault="00131412" w:rsidP="00131412">
      <w:pPr>
        <w:pStyle w:val="Heading3"/>
        <w:spacing w:before="0" w:after="0" w:line="240" w:lineRule="auto"/>
        <w:rPr>
          <w:color w:val="000000" w:themeColor="text1"/>
          <w:sz w:val="32"/>
          <w:szCs w:val="32"/>
        </w:rPr>
      </w:pPr>
      <w:r w:rsidRPr="006A5EB5">
        <w:rPr>
          <w:color w:val="000000" w:themeColor="text1"/>
          <w:sz w:val="32"/>
          <w:szCs w:val="32"/>
        </w:rPr>
        <w:t>List of Abbreviations</w:t>
      </w:r>
      <w:r w:rsidR="007247F3" w:rsidRPr="006A5EB5">
        <w:rPr>
          <w:color w:val="000000" w:themeColor="text1"/>
          <w:sz w:val="32"/>
          <w:szCs w:val="32"/>
        </w:rPr>
        <w:t xml:space="preserve"> </w:t>
      </w:r>
    </w:p>
    <w:p w14:paraId="073C7821" w14:textId="6E3C47CA" w:rsidR="007247F3" w:rsidRPr="006A5EB5" w:rsidRDefault="007247F3" w:rsidP="007247F3">
      <w:pPr>
        <w:spacing w:after="0" w:line="240" w:lineRule="auto"/>
        <w:jc w:val="both"/>
        <w:rPr>
          <w:rFonts w:ascii="Times New Roman" w:hAnsi="Times New Roman" w:cs="Times New Roman"/>
          <w:b/>
          <w:bCs/>
          <w:color w:val="000000" w:themeColor="text1"/>
          <w:sz w:val="32"/>
          <w:szCs w:val="32"/>
        </w:rPr>
      </w:pPr>
      <w:r w:rsidRPr="006A5EB5">
        <w:rPr>
          <w:rFonts w:ascii="Times New Roman" w:hAnsi="Times New Roman" w:cs="Times New Roman"/>
          <w:b/>
          <w:bCs/>
          <w:color w:val="000000" w:themeColor="text1"/>
        </w:rPr>
        <w:t xml:space="preserve">(List all the </w:t>
      </w:r>
      <w:proofErr w:type="gramStart"/>
      <w:r w:rsidRPr="006A5EB5">
        <w:rPr>
          <w:rFonts w:ascii="Times New Roman" w:hAnsi="Times New Roman" w:cs="Times New Roman"/>
          <w:b/>
          <w:bCs/>
          <w:color w:val="000000" w:themeColor="text1"/>
        </w:rPr>
        <w:t>abbreviations</w:t>
      </w:r>
      <w:proofErr w:type="gramEnd"/>
      <w:r w:rsidRPr="006A5EB5">
        <w:rPr>
          <w:rFonts w:ascii="Times New Roman" w:hAnsi="Times New Roman" w:cs="Times New Roman"/>
          <w:b/>
          <w:bCs/>
          <w:color w:val="000000" w:themeColor="text1"/>
        </w:rPr>
        <w:t xml:space="preserve"> appeared in your manuscript as given below)</w:t>
      </w:r>
    </w:p>
    <w:p w14:paraId="19A1F696" w14:textId="70FD840F" w:rsidR="00131412" w:rsidRPr="006A5EB5" w:rsidRDefault="00993D3F" w:rsidP="00993D3F">
      <w:pPr>
        <w:spacing w:after="0" w:line="240" w:lineRule="auto"/>
        <w:jc w:val="both"/>
        <w:rPr>
          <w:rFonts w:ascii="Times New Roman" w:hAnsi="Times New Roman" w:cs="Times New Roman"/>
          <w:color w:val="000000" w:themeColor="text1"/>
          <w:lang w:val="en-GB" w:eastAsia="en-GB"/>
        </w:rPr>
      </w:pPr>
      <w:r w:rsidRPr="006A5EB5">
        <w:rPr>
          <w:rFonts w:ascii="Times New Roman" w:hAnsi="Times New Roman" w:cs="Times New Roman"/>
          <w:color w:val="000000" w:themeColor="text1"/>
          <w:lang w:val="en-GB" w:eastAsia="en-GB"/>
        </w:rPr>
        <w:t xml:space="preserve">SM: </w:t>
      </w:r>
      <w:r w:rsidR="00EA1948" w:rsidRPr="006A5EB5">
        <w:rPr>
          <w:rFonts w:ascii="Times New Roman" w:hAnsi="Times New Roman" w:cs="Times New Roman"/>
          <w:color w:val="000000" w:themeColor="text1"/>
          <w:lang w:val="en-GB" w:eastAsia="en-GB"/>
        </w:rPr>
        <w:t>Self-medication</w:t>
      </w:r>
      <w:r w:rsidRPr="006A5EB5">
        <w:rPr>
          <w:rFonts w:ascii="Times New Roman" w:hAnsi="Times New Roman" w:cs="Times New Roman"/>
          <w:color w:val="000000" w:themeColor="text1"/>
          <w:lang w:val="en-GB" w:eastAsia="en-GB"/>
        </w:rPr>
        <w:t>, OTC: Over the Counter, NSAIDs: Non-Steroidal Anti-Inflammatory Drugs, PPI: Proton Pump Inhibitor, H2 blocker: Histamine 2 Receptor Antagonist, GERD: Gastroesophageal Reflux Disease, WHO: World Health Organization, BDT: Bangladeshi Taka</w:t>
      </w:r>
      <w:r w:rsidR="00585BC2" w:rsidRPr="006A5EB5">
        <w:rPr>
          <w:rFonts w:ascii="Times New Roman" w:hAnsi="Times New Roman" w:cs="Times New Roman"/>
          <w:color w:val="000000" w:themeColor="text1"/>
          <w:lang w:val="en-GB" w:eastAsia="en-GB"/>
        </w:rPr>
        <w:t xml:space="preserve">, </w:t>
      </w:r>
      <w:r w:rsidR="00585BC2" w:rsidRPr="006A5EB5">
        <w:rPr>
          <w:rFonts w:ascii="Times New Roman" w:hAnsi="Times New Roman" w:cs="Times New Roman"/>
          <w:color w:val="000000" w:themeColor="text1"/>
          <w:lang w:eastAsia="en-GB"/>
        </w:rPr>
        <w:t>GI: Gastrointestinal</w:t>
      </w:r>
      <w:r w:rsidR="00131412" w:rsidRPr="006A5EB5">
        <w:rPr>
          <w:rFonts w:ascii="Times New Roman" w:hAnsi="Times New Roman" w:cs="Times New Roman"/>
          <w:color w:val="000000" w:themeColor="text1"/>
          <w:lang w:val="en-GB" w:eastAsia="en-GB"/>
        </w:rPr>
        <w:t xml:space="preserve"> </w:t>
      </w:r>
    </w:p>
    <w:p w14:paraId="42686DB3" w14:textId="77777777" w:rsidR="00F32840" w:rsidRPr="006A5EB5" w:rsidRDefault="00F32840" w:rsidP="0033346C">
      <w:pPr>
        <w:spacing w:after="0" w:line="240" w:lineRule="auto"/>
        <w:jc w:val="both"/>
        <w:rPr>
          <w:rFonts w:ascii="Times New Roman" w:hAnsi="Times New Roman" w:cs="Times New Roman"/>
          <w:color w:val="FF0000"/>
        </w:rPr>
      </w:pPr>
    </w:p>
    <w:p w14:paraId="1A3CE56D" w14:textId="77777777" w:rsidR="0033346C" w:rsidRPr="006A5EB5" w:rsidRDefault="0033346C" w:rsidP="0033346C">
      <w:pPr>
        <w:pStyle w:val="Heading3"/>
        <w:spacing w:before="0" w:after="0" w:line="240" w:lineRule="auto"/>
        <w:rPr>
          <w:color w:val="FF0000"/>
          <w:sz w:val="18"/>
          <w:szCs w:val="22"/>
        </w:rPr>
      </w:pPr>
    </w:p>
    <w:p w14:paraId="2D3A5067" w14:textId="77777777" w:rsidR="0033346C" w:rsidRPr="006A5EB5" w:rsidRDefault="0033346C" w:rsidP="0033346C">
      <w:pPr>
        <w:pStyle w:val="Heading3"/>
        <w:spacing w:before="0" w:after="0" w:line="240" w:lineRule="auto"/>
        <w:rPr>
          <w:color w:val="000000" w:themeColor="text1"/>
          <w:sz w:val="32"/>
          <w:szCs w:val="32"/>
        </w:rPr>
      </w:pPr>
      <w:r w:rsidRPr="006A5EB5">
        <w:rPr>
          <w:color w:val="000000" w:themeColor="text1"/>
          <w:sz w:val="32"/>
          <w:szCs w:val="32"/>
        </w:rPr>
        <w:t>Conflicts of Interest</w:t>
      </w:r>
    </w:p>
    <w:p w14:paraId="312B5609" w14:textId="77777777" w:rsidR="0033346C" w:rsidRPr="006A5EB5" w:rsidRDefault="0033346C" w:rsidP="0033346C">
      <w:pPr>
        <w:spacing w:after="0" w:line="240" w:lineRule="auto"/>
        <w:jc w:val="both"/>
        <w:rPr>
          <w:rFonts w:ascii="Times New Roman" w:hAnsi="Times New Roman" w:cs="Times New Roman"/>
          <w:color w:val="000000" w:themeColor="text1"/>
        </w:rPr>
      </w:pPr>
      <w:r w:rsidRPr="006A5EB5">
        <w:rPr>
          <w:rFonts w:ascii="Times New Roman" w:hAnsi="Times New Roman" w:cs="Times New Roman"/>
          <w:color w:val="000000" w:themeColor="text1"/>
          <w:lang w:val="en-GB" w:eastAsia="en-GB"/>
        </w:rPr>
        <w:t>The authors declare that the research was conducted in the absence of any commercial or financial relationships that could be construed as a potential conflict of interest.</w:t>
      </w:r>
    </w:p>
    <w:p w14:paraId="66907035" w14:textId="77777777" w:rsidR="0033346C" w:rsidRPr="006A5EB5" w:rsidRDefault="0033346C" w:rsidP="0033346C">
      <w:pPr>
        <w:spacing w:after="0" w:line="240" w:lineRule="auto"/>
        <w:jc w:val="both"/>
        <w:rPr>
          <w:rFonts w:ascii="Times New Roman" w:hAnsi="Times New Roman" w:cs="Times New Roman"/>
          <w:b/>
          <w:color w:val="FF0000"/>
          <w:sz w:val="14"/>
          <w:szCs w:val="24"/>
        </w:rPr>
      </w:pPr>
    </w:p>
    <w:p w14:paraId="7AE5813B" w14:textId="77777777" w:rsidR="00614B46" w:rsidRPr="006A5EB5" w:rsidRDefault="00614B46" w:rsidP="007247F3">
      <w:pPr>
        <w:spacing w:after="0" w:line="240" w:lineRule="auto"/>
        <w:jc w:val="both"/>
        <w:rPr>
          <w:rFonts w:ascii="Times New Roman" w:hAnsi="Times New Roman" w:cs="Times New Roman"/>
          <w:b/>
          <w:bCs/>
          <w:color w:val="FF0000"/>
          <w:sz w:val="32"/>
          <w:szCs w:val="32"/>
        </w:rPr>
      </w:pPr>
    </w:p>
    <w:p w14:paraId="432AAE36" w14:textId="6CF5EFDA" w:rsidR="007247F3" w:rsidRPr="006A5EB5" w:rsidRDefault="0033346C" w:rsidP="007247F3">
      <w:pPr>
        <w:spacing w:after="0" w:line="240" w:lineRule="auto"/>
        <w:jc w:val="both"/>
        <w:rPr>
          <w:rFonts w:ascii="Times New Roman" w:hAnsi="Times New Roman" w:cs="Times New Roman"/>
          <w:b/>
          <w:bCs/>
          <w:color w:val="000000" w:themeColor="text1"/>
          <w:sz w:val="32"/>
          <w:szCs w:val="32"/>
        </w:rPr>
      </w:pPr>
      <w:r w:rsidRPr="006A5EB5">
        <w:rPr>
          <w:rFonts w:ascii="Times New Roman" w:hAnsi="Times New Roman" w:cs="Times New Roman"/>
          <w:b/>
          <w:bCs/>
          <w:color w:val="000000" w:themeColor="text1"/>
          <w:sz w:val="32"/>
          <w:szCs w:val="32"/>
        </w:rPr>
        <w:t>Author Contributions Statement</w:t>
      </w:r>
      <w:r w:rsidR="007247F3" w:rsidRPr="006A5EB5">
        <w:rPr>
          <w:rFonts w:ascii="Times New Roman" w:hAnsi="Times New Roman" w:cs="Times New Roman"/>
          <w:color w:val="000000" w:themeColor="text1"/>
          <w:sz w:val="32"/>
          <w:szCs w:val="32"/>
        </w:rPr>
        <w:t xml:space="preserve"> </w:t>
      </w:r>
      <w:r w:rsidR="007247F3" w:rsidRPr="006A5EB5">
        <w:rPr>
          <w:rFonts w:ascii="Times New Roman" w:hAnsi="Times New Roman" w:cs="Times New Roman"/>
          <w:b/>
          <w:bCs/>
          <w:color w:val="000000" w:themeColor="text1"/>
        </w:rPr>
        <w:t xml:space="preserve">(State the contributions of each author as </w:t>
      </w:r>
      <w:r w:rsidR="00352C70" w:rsidRPr="006A5EB5">
        <w:rPr>
          <w:rFonts w:ascii="Times New Roman" w:hAnsi="Times New Roman" w:cs="Times New Roman"/>
          <w:b/>
          <w:bCs/>
          <w:color w:val="000000" w:themeColor="text1"/>
        </w:rPr>
        <w:t>given</w:t>
      </w:r>
      <w:r w:rsidR="007247F3" w:rsidRPr="006A5EB5">
        <w:rPr>
          <w:rFonts w:ascii="Times New Roman" w:hAnsi="Times New Roman" w:cs="Times New Roman"/>
          <w:b/>
          <w:bCs/>
          <w:color w:val="000000" w:themeColor="text1"/>
        </w:rPr>
        <w:t xml:space="preserve"> below)</w:t>
      </w:r>
    </w:p>
    <w:p w14:paraId="4556112C" w14:textId="576A26DB" w:rsidR="000135B9" w:rsidRPr="006A5EB5" w:rsidRDefault="000135B9" w:rsidP="007247F3">
      <w:pPr>
        <w:pStyle w:val="Heading1"/>
        <w:spacing w:before="0" w:line="240" w:lineRule="auto"/>
        <w:ind w:left="567" w:hanging="567"/>
        <w:jc w:val="both"/>
        <w:rPr>
          <w:rFonts w:ascii="Times New Roman" w:eastAsiaTheme="minorHAnsi" w:hAnsi="Times New Roman" w:cs="Times New Roman"/>
          <w:b w:val="0"/>
          <w:color w:val="000000" w:themeColor="text1"/>
          <w:sz w:val="8"/>
          <w:szCs w:val="22"/>
          <w:lang w:val="en-GB"/>
        </w:rPr>
      </w:pPr>
    </w:p>
    <w:p w14:paraId="11DD8EB8" w14:textId="0041B41B" w:rsidR="0033346C" w:rsidRPr="006A5EB5" w:rsidRDefault="0033346C" w:rsidP="0033346C">
      <w:pPr>
        <w:pStyle w:val="Heading1"/>
        <w:spacing w:before="0" w:line="240" w:lineRule="auto"/>
        <w:jc w:val="both"/>
        <w:rPr>
          <w:rFonts w:ascii="Times New Roman" w:eastAsiaTheme="minorHAnsi" w:hAnsi="Times New Roman" w:cs="Times New Roman"/>
          <w:b w:val="0"/>
          <w:color w:val="000000" w:themeColor="text1"/>
          <w:sz w:val="22"/>
          <w:szCs w:val="22"/>
          <w:lang w:val="en-GB"/>
        </w:rPr>
      </w:pPr>
      <w:r w:rsidRPr="006A5EB5">
        <w:rPr>
          <w:rFonts w:ascii="Times New Roman" w:eastAsiaTheme="minorHAnsi" w:hAnsi="Times New Roman" w:cs="Times New Roman"/>
          <w:b w:val="0"/>
          <w:color w:val="000000" w:themeColor="text1"/>
          <w:sz w:val="22"/>
          <w:szCs w:val="22"/>
          <w:lang w:val="en-GB"/>
        </w:rPr>
        <w:t xml:space="preserve">Conceptualization: </w:t>
      </w:r>
      <w:r w:rsidR="00481891" w:rsidRPr="006A5EB5">
        <w:rPr>
          <w:rFonts w:ascii="Times New Roman" w:eastAsiaTheme="minorHAnsi" w:hAnsi="Times New Roman" w:cs="Times New Roman"/>
          <w:b w:val="0"/>
          <w:color w:val="000000" w:themeColor="text1"/>
          <w:sz w:val="22"/>
          <w:szCs w:val="22"/>
          <w:lang w:val="en-GB"/>
        </w:rPr>
        <w:t xml:space="preserve">BMS conceptualized and designed the study. BMS, ZI, MNR, and FA were responsible for data collection, including prescription review and participant interviews. MKM, MR, and UA contributed to data organization and initial manuscript drafting. BMS conducted critical review, editing, and overall supervision of the manuscript. Final manuscript preparation and approval were carried out by BMS, </w:t>
      </w:r>
      <w:r w:rsidR="00300D85" w:rsidRPr="006A5EB5">
        <w:rPr>
          <w:rFonts w:ascii="Times New Roman" w:eastAsiaTheme="minorHAnsi" w:hAnsi="Times New Roman" w:cs="Times New Roman"/>
          <w:b w:val="0"/>
          <w:color w:val="000000" w:themeColor="text1"/>
          <w:sz w:val="22"/>
          <w:szCs w:val="22"/>
          <w:lang w:val="en-GB"/>
        </w:rPr>
        <w:t xml:space="preserve">ZI, </w:t>
      </w:r>
      <w:r w:rsidR="00481891" w:rsidRPr="006A5EB5">
        <w:rPr>
          <w:rFonts w:ascii="Times New Roman" w:eastAsiaTheme="minorHAnsi" w:hAnsi="Times New Roman" w:cs="Times New Roman"/>
          <w:b w:val="0"/>
          <w:color w:val="000000" w:themeColor="text1"/>
          <w:sz w:val="22"/>
          <w:szCs w:val="22"/>
          <w:lang w:val="en-GB"/>
        </w:rPr>
        <w:t>MNR, and FA. NN provided project supervision and methodological guidance. All authors read and approved the final version of the manuscript</w:t>
      </w:r>
      <w:r w:rsidRPr="006A5EB5">
        <w:rPr>
          <w:rFonts w:ascii="Times New Roman" w:eastAsiaTheme="minorHAnsi" w:hAnsi="Times New Roman" w:cs="Times New Roman"/>
          <w:b w:val="0"/>
          <w:color w:val="000000" w:themeColor="text1"/>
          <w:sz w:val="22"/>
          <w:szCs w:val="22"/>
          <w:lang w:val="en-GB"/>
        </w:rPr>
        <w:t>.</w:t>
      </w:r>
    </w:p>
    <w:p w14:paraId="7BB8D220" w14:textId="77777777" w:rsidR="0033346C" w:rsidRPr="006A5EB5" w:rsidRDefault="0033346C" w:rsidP="0033346C">
      <w:pPr>
        <w:spacing w:after="0" w:line="240" w:lineRule="auto"/>
        <w:jc w:val="both"/>
        <w:rPr>
          <w:rFonts w:ascii="Times New Roman" w:hAnsi="Times New Roman" w:cs="Times New Roman"/>
          <w:color w:val="FF0000"/>
          <w:sz w:val="26"/>
        </w:rPr>
      </w:pPr>
    </w:p>
    <w:p w14:paraId="7C62190C" w14:textId="134587CF" w:rsidR="0033346C" w:rsidRPr="006A5EB5" w:rsidRDefault="0033346C" w:rsidP="0033346C">
      <w:pPr>
        <w:spacing w:after="0" w:line="240" w:lineRule="auto"/>
        <w:jc w:val="both"/>
        <w:rPr>
          <w:rFonts w:ascii="Times New Roman" w:hAnsi="Times New Roman" w:cs="Times New Roman"/>
          <w:b/>
          <w:bCs/>
          <w:color w:val="000000" w:themeColor="text1"/>
          <w:sz w:val="32"/>
          <w:szCs w:val="32"/>
        </w:rPr>
      </w:pPr>
      <w:r w:rsidRPr="006A5EB5">
        <w:rPr>
          <w:rFonts w:ascii="Times New Roman" w:hAnsi="Times New Roman" w:cs="Times New Roman"/>
          <w:b/>
          <w:bCs/>
          <w:color w:val="000000" w:themeColor="text1"/>
          <w:sz w:val="32"/>
          <w:szCs w:val="32"/>
        </w:rPr>
        <w:t>Funding Information</w:t>
      </w:r>
      <w:r w:rsidR="007247F3" w:rsidRPr="006A5EB5">
        <w:rPr>
          <w:rFonts w:ascii="Times New Roman" w:hAnsi="Times New Roman" w:cs="Times New Roman"/>
          <w:b/>
          <w:bCs/>
          <w:color w:val="000000" w:themeColor="text1"/>
          <w:sz w:val="32"/>
          <w:szCs w:val="32"/>
        </w:rPr>
        <w:t xml:space="preserve"> </w:t>
      </w:r>
      <w:r w:rsidR="007247F3" w:rsidRPr="006A5EB5">
        <w:rPr>
          <w:rFonts w:ascii="Times New Roman" w:hAnsi="Times New Roman" w:cs="Times New Roman"/>
          <w:b/>
          <w:bCs/>
          <w:color w:val="000000" w:themeColor="text1"/>
        </w:rPr>
        <w:t>(mention the funding sources if you have received any financial support)</w:t>
      </w:r>
    </w:p>
    <w:p w14:paraId="5A67D246" w14:textId="77777777" w:rsidR="000135B9" w:rsidRPr="006A5EB5" w:rsidRDefault="000135B9" w:rsidP="0033346C">
      <w:pPr>
        <w:pStyle w:val="Heading1"/>
        <w:spacing w:before="0" w:line="240" w:lineRule="auto"/>
        <w:ind w:left="567" w:hanging="567"/>
        <w:jc w:val="both"/>
        <w:rPr>
          <w:rFonts w:ascii="Times New Roman" w:eastAsiaTheme="minorHAnsi" w:hAnsi="Times New Roman" w:cs="Times New Roman"/>
          <w:b w:val="0"/>
          <w:color w:val="000000" w:themeColor="text1"/>
          <w:sz w:val="6"/>
          <w:szCs w:val="22"/>
        </w:rPr>
      </w:pPr>
    </w:p>
    <w:p w14:paraId="5BFABD71" w14:textId="77777777" w:rsidR="0033346C" w:rsidRPr="006A5EB5" w:rsidRDefault="0033346C" w:rsidP="0033346C">
      <w:pPr>
        <w:pStyle w:val="Heading1"/>
        <w:spacing w:before="0" w:line="240" w:lineRule="auto"/>
        <w:ind w:left="567" w:hanging="567"/>
        <w:jc w:val="both"/>
        <w:rPr>
          <w:rFonts w:ascii="Times New Roman" w:eastAsiaTheme="minorHAnsi" w:hAnsi="Times New Roman" w:cs="Times New Roman"/>
          <w:b w:val="0"/>
          <w:color w:val="000000" w:themeColor="text1"/>
          <w:sz w:val="22"/>
          <w:szCs w:val="22"/>
        </w:rPr>
      </w:pPr>
      <w:r w:rsidRPr="006A5EB5">
        <w:rPr>
          <w:rFonts w:ascii="Times New Roman" w:eastAsiaTheme="minorHAnsi" w:hAnsi="Times New Roman" w:cs="Times New Roman"/>
          <w:b w:val="0"/>
          <w:color w:val="000000" w:themeColor="text1"/>
          <w:sz w:val="22"/>
          <w:szCs w:val="22"/>
        </w:rPr>
        <w:t>This research received no external funding.</w:t>
      </w:r>
    </w:p>
    <w:p w14:paraId="3D42751D" w14:textId="77777777" w:rsidR="0033346C" w:rsidRPr="006A5EB5" w:rsidRDefault="0033346C" w:rsidP="0033346C">
      <w:pPr>
        <w:spacing w:after="0" w:line="240" w:lineRule="auto"/>
        <w:jc w:val="both"/>
        <w:rPr>
          <w:rFonts w:ascii="Times New Roman" w:hAnsi="Times New Roman" w:cs="Times New Roman"/>
          <w:b/>
          <w:color w:val="FF0000"/>
          <w:sz w:val="20"/>
          <w:szCs w:val="32"/>
        </w:rPr>
      </w:pPr>
    </w:p>
    <w:p w14:paraId="3993A3F1" w14:textId="77777777" w:rsidR="0033346C" w:rsidRPr="006A5EB5" w:rsidRDefault="0033346C" w:rsidP="0033346C">
      <w:pPr>
        <w:spacing w:after="0" w:line="240" w:lineRule="auto"/>
        <w:jc w:val="both"/>
        <w:rPr>
          <w:rFonts w:ascii="Times New Roman" w:hAnsi="Times New Roman" w:cs="Times New Roman"/>
          <w:b/>
          <w:color w:val="000000" w:themeColor="text1"/>
          <w:sz w:val="32"/>
          <w:szCs w:val="32"/>
        </w:rPr>
      </w:pPr>
      <w:r w:rsidRPr="006A5EB5">
        <w:rPr>
          <w:rFonts w:ascii="Times New Roman" w:hAnsi="Times New Roman" w:cs="Times New Roman"/>
          <w:b/>
          <w:color w:val="000000" w:themeColor="text1"/>
          <w:sz w:val="32"/>
          <w:szCs w:val="32"/>
        </w:rPr>
        <w:t>Acknowledgements</w:t>
      </w:r>
    </w:p>
    <w:p w14:paraId="7005162F" w14:textId="77777777" w:rsidR="0033346C" w:rsidRPr="006A5EB5" w:rsidRDefault="0033346C" w:rsidP="0033346C">
      <w:pPr>
        <w:spacing w:after="0" w:line="240" w:lineRule="auto"/>
        <w:jc w:val="both"/>
        <w:rPr>
          <w:rFonts w:ascii="Times New Roman" w:hAnsi="Times New Roman" w:cs="Times New Roman"/>
          <w:color w:val="000000" w:themeColor="text1"/>
          <w:sz w:val="8"/>
          <w:shd w:val="clear" w:color="auto" w:fill="FFFFFF"/>
        </w:rPr>
      </w:pPr>
    </w:p>
    <w:p w14:paraId="55AAF1EE" w14:textId="7506374D" w:rsidR="0033346C" w:rsidRPr="006A5EB5" w:rsidRDefault="006C5969" w:rsidP="000135B9">
      <w:pPr>
        <w:spacing w:after="0" w:line="240" w:lineRule="auto"/>
        <w:jc w:val="both"/>
        <w:rPr>
          <w:rFonts w:ascii="Times New Roman" w:hAnsi="Times New Roman" w:cs="Times New Roman"/>
          <w:b/>
          <w:color w:val="000000" w:themeColor="text1"/>
          <w:shd w:val="clear" w:color="auto" w:fill="FFFFFF"/>
        </w:rPr>
      </w:pPr>
      <w:r w:rsidRPr="006A5EB5">
        <w:rPr>
          <w:rFonts w:ascii="Times New Roman" w:hAnsi="Times New Roman" w:cs="Times New Roman"/>
          <w:color w:val="000000" w:themeColor="text1"/>
          <w:shd w:val="clear" w:color="auto" w:fill="FFFFFF"/>
        </w:rPr>
        <w:t xml:space="preserve">The authors would like to express their sincere gratitude to all healthcare professionals, including medical doctors, pharmacists, nurses, and other healthcare workers, for their dedication and commitment in providing healthcare services despite professional challenges and psychological stress. The authors are also thankful to all study </w:t>
      </w:r>
      <w:r w:rsidRPr="006A5EB5">
        <w:rPr>
          <w:rFonts w:ascii="Times New Roman" w:hAnsi="Times New Roman" w:cs="Times New Roman"/>
          <w:color w:val="000000" w:themeColor="text1"/>
          <w:shd w:val="clear" w:color="auto" w:fill="FFFFFF"/>
        </w:rPr>
        <w:lastRenderedPageBreak/>
        <w:t>participants for their voluntary participation and for providing valuable information and prescriptions that contributed significantly to the completion of this study</w:t>
      </w:r>
      <w:r w:rsidR="0033346C" w:rsidRPr="006A5EB5">
        <w:rPr>
          <w:rFonts w:ascii="Times New Roman" w:hAnsi="Times New Roman" w:cs="Times New Roman"/>
          <w:color w:val="000000" w:themeColor="text1"/>
          <w:shd w:val="clear" w:color="auto" w:fill="FFFFFF"/>
        </w:rPr>
        <w:t>.</w:t>
      </w:r>
    </w:p>
    <w:p w14:paraId="1A10180C" w14:textId="77777777" w:rsidR="0033346C" w:rsidRPr="006A5EB5" w:rsidRDefault="0033346C" w:rsidP="0033346C">
      <w:pPr>
        <w:pStyle w:val="Heading1"/>
        <w:spacing w:before="240" w:after="120" w:line="240" w:lineRule="auto"/>
        <w:ind w:left="567" w:hanging="567"/>
        <w:jc w:val="both"/>
        <w:rPr>
          <w:rFonts w:ascii="Times New Roman" w:hAnsi="Times New Roman" w:cs="Times New Roman"/>
          <w:color w:val="000000" w:themeColor="text1"/>
          <w:sz w:val="32"/>
          <w:szCs w:val="32"/>
        </w:rPr>
      </w:pPr>
      <w:r w:rsidRPr="006A5EB5">
        <w:rPr>
          <w:rFonts w:ascii="Times New Roman" w:hAnsi="Times New Roman" w:cs="Times New Roman"/>
          <w:color w:val="000000" w:themeColor="text1"/>
          <w:sz w:val="32"/>
          <w:szCs w:val="32"/>
        </w:rPr>
        <w:t>Data Availability Statement</w:t>
      </w:r>
    </w:p>
    <w:p w14:paraId="76773D01" w14:textId="000A86F5" w:rsidR="0033346C" w:rsidRPr="006A5EB5" w:rsidRDefault="0033346C" w:rsidP="0033346C">
      <w:pPr>
        <w:spacing w:after="0" w:line="240" w:lineRule="auto"/>
        <w:jc w:val="both"/>
        <w:rPr>
          <w:rFonts w:ascii="Times New Roman" w:hAnsi="Times New Roman" w:cs="Times New Roman"/>
          <w:bCs/>
          <w:color w:val="000000" w:themeColor="text1"/>
        </w:rPr>
      </w:pPr>
      <w:r w:rsidRPr="006A5EB5">
        <w:rPr>
          <w:rFonts w:ascii="Times New Roman" w:hAnsi="Times New Roman" w:cs="Times New Roman"/>
          <w:color w:val="000000" w:themeColor="text1"/>
        </w:rPr>
        <w:t xml:space="preserve">Data relevant to the study is already included </w:t>
      </w:r>
      <w:r w:rsidR="0024275E" w:rsidRPr="006A5EB5">
        <w:rPr>
          <w:rFonts w:ascii="Times New Roman" w:hAnsi="Times New Roman" w:cs="Times New Roman"/>
          <w:color w:val="000000" w:themeColor="text1"/>
        </w:rPr>
        <w:t>in</w:t>
      </w:r>
      <w:r w:rsidRPr="006A5EB5">
        <w:rPr>
          <w:rFonts w:ascii="Times New Roman" w:hAnsi="Times New Roman" w:cs="Times New Roman"/>
          <w:color w:val="000000" w:themeColor="text1"/>
        </w:rPr>
        <w:t xml:space="preserve"> the article or attached in the supplements. </w:t>
      </w:r>
      <w:r w:rsidR="00615779" w:rsidRPr="006A5EB5">
        <w:rPr>
          <w:rFonts w:ascii="Times New Roman" w:hAnsi="Times New Roman" w:cs="Times New Roman"/>
          <w:color w:val="000000" w:themeColor="text1"/>
        </w:rPr>
        <w:t>Raw data will be provided upon reasonable request by contacting the corresponding author</w:t>
      </w:r>
      <w:r w:rsidRPr="006A5EB5">
        <w:rPr>
          <w:rFonts w:ascii="Times New Roman" w:hAnsi="Times New Roman" w:cs="Times New Roman"/>
          <w:color w:val="000000" w:themeColor="text1"/>
        </w:rPr>
        <w:t xml:space="preserve">. </w:t>
      </w:r>
    </w:p>
    <w:p w14:paraId="576C357D" w14:textId="77777777" w:rsidR="000E2567" w:rsidRPr="006A5EB5" w:rsidRDefault="000E2567" w:rsidP="0033346C">
      <w:pPr>
        <w:spacing w:after="0" w:line="240" w:lineRule="auto"/>
        <w:jc w:val="both"/>
        <w:rPr>
          <w:rFonts w:ascii="Times New Roman" w:hAnsi="Times New Roman" w:cs="Times New Roman"/>
          <w:color w:val="FF0000"/>
          <w:sz w:val="30"/>
        </w:rPr>
      </w:pPr>
    </w:p>
    <w:p w14:paraId="0FA54FB3" w14:textId="6D663787" w:rsidR="00825FFB" w:rsidRPr="006A5EB5" w:rsidRDefault="00E10B51" w:rsidP="00825FFB">
      <w:pPr>
        <w:spacing w:after="0" w:line="240" w:lineRule="auto"/>
        <w:jc w:val="both"/>
        <w:rPr>
          <w:rFonts w:ascii="Times New Roman" w:hAnsi="Times New Roman" w:cs="Times New Roman"/>
          <w:b/>
        </w:rPr>
      </w:pPr>
      <w:proofErr w:type="gramStart"/>
      <w:r w:rsidRPr="006A5EB5">
        <w:rPr>
          <w:rFonts w:ascii="Times New Roman" w:hAnsi="Times New Roman" w:cs="Times New Roman"/>
          <w:b/>
          <w:sz w:val="32"/>
          <w:szCs w:val="32"/>
        </w:rPr>
        <w:t>References</w:t>
      </w:r>
      <w:r w:rsidR="00B21EBC" w:rsidRPr="006A5EB5">
        <w:rPr>
          <w:rFonts w:ascii="Times New Roman" w:hAnsi="Times New Roman" w:cs="Times New Roman"/>
          <w:b/>
          <w:sz w:val="32"/>
          <w:szCs w:val="32"/>
        </w:rPr>
        <w:t xml:space="preserve">  </w:t>
      </w:r>
      <w:r w:rsidR="00B21EBC" w:rsidRPr="006A5EB5">
        <w:rPr>
          <w:rFonts w:ascii="Times New Roman" w:hAnsi="Times New Roman" w:cs="Times New Roman"/>
          <w:b/>
        </w:rPr>
        <w:t>(</w:t>
      </w:r>
      <w:proofErr w:type="gramEnd"/>
      <w:r w:rsidR="00B21EBC" w:rsidRPr="006A5EB5">
        <w:rPr>
          <w:rFonts w:ascii="Times New Roman" w:hAnsi="Times New Roman" w:cs="Times New Roman"/>
          <w:b/>
        </w:rPr>
        <w:t xml:space="preserve">Follow this </w:t>
      </w:r>
      <w:proofErr w:type="spellStart"/>
      <w:r w:rsidR="00B21EBC" w:rsidRPr="006A5EB5">
        <w:rPr>
          <w:rFonts w:ascii="Times New Roman" w:hAnsi="Times New Roman" w:cs="Times New Roman"/>
          <w:b/>
        </w:rPr>
        <w:t>Vancover</w:t>
      </w:r>
      <w:proofErr w:type="spellEnd"/>
      <w:r w:rsidR="00B21EBC" w:rsidRPr="006A5EB5">
        <w:rPr>
          <w:rFonts w:ascii="Times New Roman" w:hAnsi="Times New Roman" w:cs="Times New Roman"/>
          <w:b/>
        </w:rPr>
        <w:t>/NCBI Reference style with DOI number as provided below)</w:t>
      </w:r>
      <w:bookmarkStart w:id="4" w:name="ref1"/>
      <w:bookmarkEnd w:id="4"/>
    </w:p>
    <w:p w14:paraId="1397E9CC" w14:textId="77777777" w:rsidR="00825FFB" w:rsidRPr="006A5EB5" w:rsidRDefault="00825FFB" w:rsidP="00825FFB">
      <w:pPr>
        <w:spacing w:after="0" w:line="240" w:lineRule="auto"/>
        <w:jc w:val="both"/>
        <w:rPr>
          <w:rFonts w:ascii="Times New Roman" w:hAnsi="Times New Roman" w:cs="Times New Roman"/>
          <w:b/>
          <w:sz w:val="12"/>
          <w:szCs w:val="12"/>
        </w:rPr>
      </w:pPr>
    </w:p>
    <w:p w14:paraId="53EF359B" w14:textId="77777777" w:rsidR="00825FFB" w:rsidRPr="006A5EB5"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shd w:val="clear" w:color="auto" w:fill="FFFFFF"/>
        </w:rPr>
        <w:t xml:space="preserve">Abdalfattah, </w:t>
      </w:r>
      <w:proofErr w:type="spellStart"/>
      <w:r w:rsidRPr="006A5EB5">
        <w:rPr>
          <w:rFonts w:ascii="Times New Roman" w:hAnsi="Times New Roman"/>
          <w:color w:val="000000" w:themeColor="text1"/>
          <w:sz w:val="22"/>
          <w:szCs w:val="22"/>
          <w:shd w:val="clear" w:color="auto" w:fill="FFFFFF"/>
        </w:rPr>
        <w:t>Nouralhoda</w:t>
      </w:r>
      <w:proofErr w:type="spellEnd"/>
      <w:r w:rsidRPr="006A5EB5">
        <w:rPr>
          <w:rFonts w:ascii="Times New Roman" w:hAnsi="Times New Roman"/>
          <w:color w:val="000000" w:themeColor="text1"/>
          <w:sz w:val="22"/>
          <w:szCs w:val="22"/>
          <w:shd w:val="clear" w:color="auto" w:fill="FFFFFF"/>
        </w:rPr>
        <w:t xml:space="preserve"> Ahmed, et al. “Knowledge and Practice about Non-Prescription Weight Loss Supplements Utilization among University Students.” </w:t>
      </w:r>
      <w:r w:rsidRPr="006A5EB5">
        <w:rPr>
          <w:rFonts w:ascii="Times New Roman" w:hAnsi="Times New Roman"/>
          <w:i/>
          <w:iCs/>
          <w:color w:val="000000" w:themeColor="text1"/>
          <w:sz w:val="22"/>
          <w:szCs w:val="22"/>
          <w:shd w:val="clear" w:color="auto" w:fill="FFFFFF"/>
        </w:rPr>
        <w:t>International Journal of Adolescent Medicine and Health</w:t>
      </w:r>
      <w:r w:rsidRPr="006A5EB5">
        <w:rPr>
          <w:rFonts w:ascii="Times New Roman" w:hAnsi="Times New Roman"/>
          <w:color w:val="000000" w:themeColor="text1"/>
          <w:sz w:val="22"/>
          <w:szCs w:val="22"/>
          <w:shd w:val="clear" w:color="auto" w:fill="FFFFFF"/>
        </w:rPr>
        <w:t>, Sept. 2025. </w:t>
      </w:r>
      <w:r w:rsidRPr="006A5EB5">
        <w:rPr>
          <w:rFonts w:ascii="Times New Roman" w:hAnsi="Times New Roman"/>
          <w:i/>
          <w:iCs/>
          <w:color w:val="000000" w:themeColor="text1"/>
          <w:sz w:val="22"/>
          <w:szCs w:val="22"/>
          <w:shd w:val="clear" w:color="auto" w:fill="FFFFFF"/>
        </w:rPr>
        <w:t>PubMed</w:t>
      </w:r>
      <w:r w:rsidRPr="006A5EB5">
        <w:rPr>
          <w:rFonts w:ascii="Times New Roman" w:hAnsi="Times New Roman"/>
          <w:color w:val="000000" w:themeColor="text1"/>
          <w:sz w:val="22"/>
          <w:szCs w:val="22"/>
          <w:shd w:val="clear" w:color="auto" w:fill="FFFFFF"/>
        </w:rPr>
        <w:t>, https://doi.org/10.1515/ijamh-2025-0124.</w:t>
      </w:r>
    </w:p>
    <w:p w14:paraId="1AE86243" w14:textId="0CE9E91E" w:rsidR="00825FFB" w:rsidRPr="006A5EB5"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shd w:val="clear" w:color="auto" w:fill="FFFFFF"/>
        </w:rPr>
        <w:t xml:space="preserve">Alamer, Sarah S., et al. “Ophthalmic </w:t>
      </w:r>
      <w:r w:rsidR="00EA1948" w:rsidRPr="006A5EB5">
        <w:rPr>
          <w:rFonts w:ascii="Times New Roman" w:hAnsi="Times New Roman"/>
          <w:color w:val="000000" w:themeColor="text1"/>
          <w:sz w:val="22"/>
          <w:szCs w:val="22"/>
          <w:shd w:val="clear" w:color="auto" w:fill="FFFFFF"/>
        </w:rPr>
        <w:t>Self-medication</w:t>
      </w:r>
      <w:r w:rsidRPr="006A5EB5">
        <w:rPr>
          <w:rFonts w:ascii="Times New Roman" w:hAnsi="Times New Roman"/>
          <w:color w:val="000000" w:themeColor="text1"/>
          <w:sz w:val="22"/>
          <w:szCs w:val="22"/>
          <w:shd w:val="clear" w:color="auto" w:fill="FFFFFF"/>
        </w:rPr>
        <w:t xml:space="preserve"> Practices and Associated Factors of Using Steroid Eye Drops Among Adult Ophthalmic Patients.” </w:t>
      </w:r>
      <w:r w:rsidRPr="006A5EB5">
        <w:rPr>
          <w:rFonts w:ascii="Times New Roman" w:hAnsi="Times New Roman"/>
          <w:i/>
          <w:iCs/>
          <w:color w:val="000000" w:themeColor="text1"/>
          <w:sz w:val="22"/>
          <w:szCs w:val="22"/>
          <w:shd w:val="clear" w:color="auto" w:fill="FFFFFF"/>
        </w:rPr>
        <w:t>Cureus</w:t>
      </w:r>
      <w:r w:rsidRPr="006A5EB5">
        <w:rPr>
          <w:rFonts w:ascii="Times New Roman" w:hAnsi="Times New Roman"/>
          <w:color w:val="000000" w:themeColor="text1"/>
          <w:sz w:val="22"/>
          <w:szCs w:val="22"/>
          <w:shd w:val="clear" w:color="auto" w:fill="FFFFFF"/>
        </w:rPr>
        <w:t>, vol. 15, no. 8, Aug. 2023, p. e43110. </w:t>
      </w:r>
      <w:r w:rsidRPr="006A5EB5">
        <w:rPr>
          <w:rFonts w:ascii="Times New Roman" w:hAnsi="Times New Roman"/>
          <w:i/>
          <w:iCs/>
          <w:color w:val="000000" w:themeColor="text1"/>
          <w:sz w:val="22"/>
          <w:szCs w:val="22"/>
          <w:shd w:val="clear" w:color="auto" w:fill="FFFFFF"/>
        </w:rPr>
        <w:t>PubMed</w:t>
      </w:r>
      <w:r w:rsidRPr="006A5EB5">
        <w:rPr>
          <w:rFonts w:ascii="Times New Roman" w:hAnsi="Times New Roman"/>
          <w:color w:val="000000" w:themeColor="text1"/>
          <w:sz w:val="22"/>
          <w:szCs w:val="22"/>
          <w:shd w:val="clear" w:color="auto" w:fill="FFFFFF"/>
        </w:rPr>
        <w:t>, https://doi.org/10.7759/cureus.43110.</w:t>
      </w:r>
    </w:p>
    <w:p w14:paraId="600E6DD8" w14:textId="27A4845F" w:rsidR="00825FFB" w:rsidRPr="006A5EB5" w:rsidRDefault="00825FFB" w:rsidP="00B72492">
      <w:pPr>
        <w:pStyle w:val="MDPI71References"/>
        <w:numPr>
          <w:ilvl w:val="0"/>
          <w:numId w:val="0"/>
        </w:numPr>
        <w:spacing w:line="240" w:lineRule="auto"/>
        <w:ind w:left="425" w:hanging="425"/>
        <w:rPr>
          <w:rFonts w:ascii="Times New Roman" w:hAnsi="Times New Roman"/>
          <w:color w:val="auto"/>
          <w:sz w:val="22"/>
          <w:szCs w:val="22"/>
        </w:rPr>
      </w:pPr>
      <w:r w:rsidRPr="006A5EB5">
        <w:rPr>
          <w:rFonts w:ascii="Times New Roman" w:hAnsi="Times New Roman"/>
          <w:color w:val="auto"/>
          <w:sz w:val="22"/>
          <w:szCs w:val="22"/>
        </w:rPr>
        <w:t>Ali, Abdul Nazer, et al. “</w:t>
      </w:r>
      <w:r w:rsidR="00EA1948" w:rsidRPr="006A5EB5">
        <w:rPr>
          <w:rFonts w:ascii="Times New Roman" w:hAnsi="Times New Roman"/>
          <w:color w:val="auto"/>
          <w:sz w:val="22"/>
          <w:szCs w:val="22"/>
        </w:rPr>
        <w:t>Self-medication</w:t>
      </w:r>
      <w:r w:rsidRPr="006A5EB5">
        <w:rPr>
          <w:rFonts w:ascii="Times New Roman" w:hAnsi="Times New Roman"/>
          <w:color w:val="auto"/>
          <w:sz w:val="22"/>
          <w:szCs w:val="22"/>
        </w:rPr>
        <w:t xml:space="preserve"> Practices among Health Care Professionals in a Private University, Malaysia.” International Current Pharmaceutical Journal, vol. 1, no. 10, Sept. 2012, pp. 302–10. www.banglajol.info, https://doi.org/10.3329/icpj.v1i10.11846.</w:t>
      </w:r>
    </w:p>
    <w:p w14:paraId="2498D894" w14:textId="06B5FFD5" w:rsidR="00825FFB" w:rsidRPr="006A5EB5" w:rsidRDefault="00825FFB" w:rsidP="00602BEA">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rPr>
        <w:t>Awad, Abdelmoneim, et al. “</w:t>
      </w:r>
      <w:r w:rsidR="00EA1948" w:rsidRPr="006A5EB5">
        <w:rPr>
          <w:rFonts w:ascii="Times New Roman" w:hAnsi="Times New Roman"/>
          <w:color w:val="000000" w:themeColor="text1"/>
          <w:sz w:val="22"/>
          <w:szCs w:val="22"/>
        </w:rPr>
        <w:t>Self-medication</w:t>
      </w:r>
      <w:r w:rsidRPr="006A5EB5">
        <w:rPr>
          <w:rFonts w:ascii="Times New Roman" w:hAnsi="Times New Roman"/>
          <w:color w:val="000000" w:themeColor="text1"/>
          <w:sz w:val="22"/>
          <w:szCs w:val="22"/>
        </w:rPr>
        <w:t xml:space="preserve"> with Antibiotics and Antimalarials in the Community of Khartoum State, Sudan.” Journal of Pharmacy &amp; Pharmaceutical Sciences: A Publication of the Canadian Society for Pharmaceutical Sciences, Societe Canadienne Des Sciences </w:t>
      </w:r>
      <w:proofErr w:type="spellStart"/>
      <w:r w:rsidRPr="006A5EB5">
        <w:rPr>
          <w:rFonts w:ascii="Times New Roman" w:hAnsi="Times New Roman"/>
          <w:color w:val="000000" w:themeColor="text1"/>
          <w:sz w:val="22"/>
          <w:szCs w:val="22"/>
        </w:rPr>
        <w:t>Pharmaceutiques</w:t>
      </w:r>
      <w:proofErr w:type="spellEnd"/>
      <w:r w:rsidRPr="006A5EB5">
        <w:rPr>
          <w:rFonts w:ascii="Times New Roman" w:hAnsi="Times New Roman"/>
          <w:color w:val="000000" w:themeColor="text1"/>
          <w:sz w:val="22"/>
          <w:szCs w:val="22"/>
        </w:rPr>
        <w:t>, vol. 8, no. 2, Aug. 2005, pp. 326–31. PubMed.</w:t>
      </w:r>
    </w:p>
    <w:p w14:paraId="16B968D4" w14:textId="7F60A4CF" w:rsidR="00825FFB" w:rsidRPr="006A5EB5"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shd w:val="clear" w:color="auto" w:fill="FFFFFF"/>
        </w:rPr>
        <w:t xml:space="preserve">Badr AF, Alghamdi L, </w:t>
      </w:r>
      <w:proofErr w:type="spellStart"/>
      <w:r w:rsidRPr="006A5EB5">
        <w:rPr>
          <w:rFonts w:ascii="Times New Roman" w:hAnsi="Times New Roman"/>
          <w:color w:val="000000" w:themeColor="text1"/>
          <w:sz w:val="22"/>
          <w:szCs w:val="22"/>
          <w:shd w:val="clear" w:color="auto" w:fill="FFFFFF"/>
        </w:rPr>
        <w:t>Baraidah</w:t>
      </w:r>
      <w:proofErr w:type="spellEnd"/>
      <w:r w:rsidRPr="006A5EB5">
        <w:rPr>
          <w:rFonts w:ascii="Times New Roman" w:hAnsi="Times New Roman"/>
          <w:color w:val="000000" w:themeColor="text1"/>
          <w:sz w:val="22"/>
          <w:szCs w:val="22"/>
          <w:shd w:val="clear" w:color="auto" w:fill="FFFFFF"/>
        </w:rPr>
        <w:t xml:space="preserve"> H, </w:t>
      </w:r>
      <w:proofErr w:type="spellStart"/>
      <w:r w:rsidRPr="006A5EB5">
        <w:rPr>
          <w:rFonts w:ascii="Times New Roman" w:hAnsi="Times New Roman"/>
          <w:color w:val="000000" w:themeColor="text1"/>
          <w:sz w:val="22"/>
          <w:szCs w:val="22"/>
          <w:shd w:val="clear" w:color="auto" w:fill="FFFFFF"/>
        </w:rPr>
        <w:t>Alsulami</w:t>
      </w:r>
      <w:proofErr w:type="spellEnd"/>
      <w:r w:rsidRPr="006A5EB5">
        <w:rPr>
          <w:rFonts w:ascii="Times New Roman" w:hAnsi="Times New Roman"/>
          <w:color w:val="000000" w:themeColor="text1"/>
          <w:sz w:val="22"/>
          <w:szCs w:val="22"/>
          <w:shd w:val="clear" w:color="auto" w:fill="FFFFFF"/>
        </w:rPr>
        <w:t xml:space="preserve"> R. Prevalence and patterns of </w:t>
      </w:r>
      <w:r w:rsidR="00EA1948" w:rsidRPr="006A5EB5">
        <w:rPr>
          <w:rFonts w:ascii="Times New Roman" w:hAnsi="Times New Roman"/>
          <w:color w:val="000000" w:themeColor="text1"/>
          <w:sz w:val="22"/>
          <w:szCs w:val="22"/>
          <w:shd w:val="clear" w:color="auto" w:fill="FFFFFF"/>
        </w:rPr>
        <w:t>self-medication</w:t>
      </w:r>
      <w:r w:rsidRPr="006A5EB5">
        <w:rPr>
          <w:rFonts w:ascii="Times New Roman" w:hAnsi="Times New Roman"/>
          <w:color w:val="000000" w:themeColor="text1"/>
          <w:sz w:val="22"/>
          <w:szCs w:val="22"/>
          <w:shd w:val="clear" w:color="auto" w:fill="FFFFFF"/>
        </w:rPr>
        <w:t xml:space="preserve"> during COVID-19 pandemic amongst pharmacy students in Jeddah, Saudi Arabia: cross-sectional study. Saudi J Clin Pharm. 2022;1(4):112–117. </w:t>
      </w:r>
      <w:proofErr w:type="gramStart"/>
      <w:r w:rsidRPr="006A5EB5">
        <w:rPr>
          <w:rFonts w:ascii="Times New Roman" w:hAnsi="Times New Roman"/>
          <w:color w:val="000000" w:themeColor="text1"/>
          <w:sz w:val="22"/>
          <w:szCs w:val="22"/>
          <w:shd w:val="clear" w:color="auto" w:fill="FFFFFF"/>
        </w:rPr>
        <w:t>doi:10.4103/sjcp.sjcp</w:t>
      </w:r>
      <w:proofErr w:type="gramEnd"/>
      <w:r w:rsidRPr="006A5EB5">
        <w:rPr>
          <w:rFonts w:ascii="Times New Roman" w:hAnsi="Times New Roman"/>
          <w:color w:val="000000" w:themeColor="text1"/>
          <w:sz w:val="22"/>
          <w:szCs w:val="22"/>
          <w:shd w:val="clear" w:color="auto" w:fill="FFFFFF"/>
        </w:rPr>
        <w:t>_6_22.</w:t>
      </w:r>
    </w:p>
    <w:p w14:paraId="61F7564B" w14:textId="3C0907F1" w:rsidR="00825FFB" w:rsidRPr="006A5EB5" w:rsidRDefault="00825FFB" w:rsidP="00B030F7">
      <w:pPr>
        <w:pStyle w:val="MDPI71References"/>
        <w:numPr>
          <w:ilvl w:val="0"/>
          <w:numId w:val="0"/>
        </w:numPr>
        <w:spacing w:line="240" w:lineRule="auto"/>
        <w:ind w:left="425" w:hanging="425"/>
        <w:rPr>
          <w:rFonts w:ascii="Times New Roman" w:hAnsi="Times New Roman"/>
          <w:color w:val="auto"/>
          <w:sz w:val="22"/>
          <w:szCs w:val="22"/>
        </w:rPr>
      </w:pPr>
      <w:r w:rsidRPr="006A5EB5">
        <w:rPr>
          <w:rFonts w:ascii="Times New Roman" w:hAnsi="Times New Roman"/>
          <w:color w:val="auto"/>
          <w:sz w:val="22"/>
          <w:szCs w:val="22"/>
        </w:rPr>
        <w:t xml:space="preserve">Baracaldo-Santamaría, Daniela, et al. “Definition of </w:t>
      </w:r>
      <w:r w:rsidR="00EA1948" w:rsidRPr="006A5EB5">
        <w:rPr>
          <w:rFonts w:ascii="Times New Roman" w:hAnsi="Times New Roman"/>
          <w:color w:val="auto"/>
          <w:sz w:val="22"/>
          <w:szCs w:val="22"/>
        </w:rPr>
        <w:t>Self-medication</w:t>
      </w:r>
      <w:r w:rsidRPr="006A5EB5">
        <w:rPr>
          <w:rFonts w:ascii="Times New Roman" w:hAnsi="Times New Roman"/>
          <w:color w:val="auto"/>
          <w:sz w:val="22"/>
          <w:szCs w:val="22"/>
        </w:rPr>
        <w:t>: A Scoping Review.” Therapeutic Advances in Drug Safety, vol. 13, Oct. 2022, p. 20420986221127501. PubMed Central, https://doi.org/10.1177/20420986221127501.</w:t>
      </w:r>
    </w:p>
    <w:p w14:paraId="68B66DCF" w14:textId="77777777" w:rsidR="00825FFB" w:rsidRPr="006A5EB5" w:rsidRDefault="00825FFB" w:rsidP="006F2AC6">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rPr>
        <w:t>Barbian, Julia, et al. “Emergency Contraception in University Students: Prevalence of Use and Knowledge Gaps.” </w:t>
      </w:r>
      <w:r w:rsidRPr="006A5EB5">
        <w:rPr>
          <w:rFonts w:ascii="Times New Roman" w:hAnsi="Times New Roman"/>
          <w:i/>
          <w:iCs/>
          <w:color w:val="000000" w:themeColor="text1"/>
          <w:sz w:val="22"/>
          <w:szCs w:val="22"/>
        </w:rPr>
        <w:t>Revista De Saude Publica</w:t>
      </w:r>
      <w:r w:rsidRPr="006A5EB5">
        <w:rPr>
          <w:rFonts w:ascii="Times New Roman" w:hAnsi="Times New Roman"/>
          <w:color w:val="000000" w:themeColor="text1"/>
          <w:sz w:val="22"/>
          <w:szCs w:val="22"/>
        </w:rPr>
        <w:t>, vol. 55, 2021, p. 74. </w:t>
      </w:r>
      <w:r w:rsidRPr="006A5EB5">
        <w:rPr>
          <w:rFonts w:ascii="Times New Roman" w:hAnsi="Times New Roman"/>
          <w:i/>
          <w:iCs/>
          <w:color w:val="000000" w:themeColor="text1"/>
          <w:sz w:val="22"/>
          <w:szCs w:val="22"/>
        </w:rPr>
        <w:t>PubMed</w:t>
      </w:r>
      <w:r w:rsidRPr="006A5EB5">
        <w:rPr>
          <w:rFonts w:ascii="Times New Roman" w:hAnsi="Times New Roman"/>
          <w:color w:val="000000" w:themeColor="text1"/>
          <w:sz w:val="22"/>
          <w:szCs w:val="22"/>
        </w:rPr>
        <w:t>, https://doi.org/10.11606/s1518-8787.2021055003076.</w:t>
      </w:r>
    </w:p>
    <w:p w14:paraId="399F93FD" w14:textId="77777777" w:rsidR="00825FFB" w:rsidRPr="006A5EB5" w:rsidRDefault="00825FFB" w:rsidP="00A0210F">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rPr>
        <w:t>Carrasco-Garrido, P., et al. “Patterns of Medication Use in the Immigrant Population Resident in Spain: Associated Factors.” Pharmacoepidemiology and Drug Safety, vol. 18, no. 8, Aug. 2009, pp. 743–50. PubMed, https://doi.org/10.1002/pds.1776.</w:t>
      </w:r>
    </w:p>
    <w:p w14:paraId="39FD1911" w14:textId="059BED57" w:rsidR="00825FFB" w:rsidRPr="006A5EB5"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rPr>
        <w:t xml:space="preserve">Chua SS, </w:t>
      </w:r>
      <w:proofErr w:type="spellStart"/>
      <w:r w:rsidRPr="006A5EB5">
        <w:rPr>
          <w:rFonts w:ascii="Times New Roman" w:hAnsi="Times New Roman"/>
          <w:color w:val="000000" w:themeColor="text1"/>
          <w:sz w:val="22"/>
          <w:szCs w:val="22"/>
        </w:rPr>
        <w:t>Sabki</w:t>
      </w:r>
      <w:proofErr w:type="spellEnd"/>
      <w:r w:rsidRPr="006A5EB5">
        <w:rPr>
          <w:rFonts w:ascii="Times New Roman" w:hAnsi="Times New Roman"/>
          <w:color w:val="000000" w:themeColor="text1"/>
          <w:sz w:val="22"/>
          <w:szCs w:val="22"/>
        </w:rPr>
        <w:t xml:space="preserve"> NH. Use of nonprescription medications by the </w:t>
      </w:r>
      <w:proofErr w:type="gramStart"/>
      <w:r w:rsidRPr="006A5EB5">
        <w:rPr>
          <w:rFonts w:ascii="Times New Roman" w:hAnsi="Times New Roman"/>
          <w:color w:val="000000" w:themeColor="text1"/>
          <w:sz w:val="22"/>
          <w:szCs w:val="22"/>
        </w:rPr>
        <w:t>general public</w:t>
      </w:r>
      <w:proofErr w:type="gramEnd"/>
      <w:r w:rsidRPr="006A5EB5">
        <w:rPr>
          <w:rFonts w:ascii="Times New Roman" w:hAnsi="Times New Roman"/>
          <w:color w:val="000000" w:themeColor="text1"/>
          <w:sz w:val="22"/>
          <w:szCs w:val="22"/>
        </w:rPr>
        <w:t xml:space="preserve"> in the Klang Valley. </w:t>
      </w:r>
      <w:r w:rsidRPr="006A5EB5">
        <w:rPr>
          <w:rFonts w:ascii="Times New Roman" w:hAnsi="Times New Roman"/>
          <w:i/>
          <w:iCs/>
          <w:color w:val="000000" w:themeColor="text1"/>
          <w:sz w:val="22"/>
          <w:szCs w:val="22"/>
        </w:rPr>
        <w:t>J Appl Pharm Sci</w:t>
      </w:r>
      <w:r w:rsidRPr="006A5EB5">
        <w:rPr>
          <w:rFonts w:ascii="Times New Roman" w:hAnsi="Times New Roman"/>
          <w:color w:val="000000" w:themeColor="text1"/>
          <w:sz w:val="22"/>
          <w:szCs w:val="22"/>
        </w:rPr>
        <w:t xml:space="preserve">. 2011;1(09):93–98. Available from: </w:t>
      </w:r>
      <w:r w:rsidRPr="006A5EB5">
        <w:rPr>
          <w:rFonts w:ascii="Times New Roman" w:hAnsi="Times New Roman"/>
          <w:sz w:val="22"/>
          <w:szCs w:val="22"/>
        </w:rPr>
        <w:t>https://www.japsonline.com/admin/php/uploads/268_pdf.pdf</w:t>
      </w:r>
      <w:r w:rsidRPr="006A5EB5">
        <w:rPr>
          <w:rFonts w:ascii="Times New Roman" w:hAnsi="Times New Roman"/>
          <w:color w:val="000000" w:themeColor="text1"/>
          <w:sz w:val="22"/>
          <w:szCs w:val="22"/>
        </w:rPr>
        <w:t>.</w:t>
      </w:r>
    </w:p>
    <w:p w14:paraId="3DB777F1" w14:textId="431992CF" w:rsidR="00825FFB" w:rsidRPr="006A5EB5" w:rsidRDefault="00825FFB" w:rsidP="00602BEA">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rPr>
        <w:t xml:space="preserve">Gashaw, Tigist, et al. “The Global Prevalence of Antibiotic </w:t>
      </w:r>
      <w:r w:rsidR="00EA1948" w:rsidRPr="006A5EB5">
        <w:rPr>
          <w:rFonts w:ascii="Times New Roman" w:hAnsi="Times New Roman"/>
          <w:color w:val="000000" w:themeColor="text1"/>
          <w:sz w:val="22"/>
          <w:szCs w:val="22"/>
        </w:rPr>
        <w:t>Self-medication</w:t>
      </w:r>
      <w:r w:rsidRPr="006A5EB5">
        <w:rPr>
          <w:rFonts w:ascii="Times New Roman" w:hAnsi="Times New Roman"/>
          <w:color w:val="000000" w:themeColor="text1"/>
          <w:sz w:val="22"/>
          <w:szCs w:val="22"/>
        </w:rPr>
        <w:t xml:space="preserve"> among the Adult Population: Systematic Review and Meta-Analysis.” Systematic Reviews, vol. 14, no. 1, Feb. 2025, p. 49. Springer Link, https://doi.org/10.1186/s13643-025-02783-6.</w:t>
      </w:r>
    </w:p>
    <w:p w14:paraId="42813F6D" w14:textId="7858346F" w:rsidR="00825FFB" w:rsidRPr="006A5EB5" w:rsidRDefault="00825FFB" w:rsidP="00EC37CA">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rPr>
        <w:t>Häcker, Franziska, and Hartmut Morck. “</w:t>
      </w:r>
      <w:r w:rsidR="00EA1948" w:rsidRPr="006A5EB5">
        <w:rPr>
          <w:rFonts w:ascii="Times New Roman" w:hAnsi="Times New Roman"/>
          <w:color w:val="000000" w:themeColor="text1"/>
          <w:sz w:val="22"/>
          <w:szCs w:val="22"/>
        </w:rPr>
        <w:t>Self-medication</w:t>
      </w:r>
      <w:r w:rsidRPr="006A5EB5">
        <w:rPr>
          <w:rFonts w:ascii="Times New Roman" w:hAnsi="Times New Roman"/>
          <w:color w:val="000000" w:themeColor="text1"/>
          <w:sz w:val="22"/>
          <w:szCs w:val="22"/>
        </w:rPr>
        <w:t xml:space="preserve"> of Upper Gastrointestinal Symptoms with Hydrotalcite: A Noninterventional Community Pharmacy Study on Drug Usage and Patient Satisfaction.” International Journal of Clinical Pharmacology and Therapeutics, vol. 50, no. 2, Feb. 2012, pp. 87–99. PubMed, https://doi.org/10.5414/cp201576.</w:t>
      </w:r>
    </w:p>
    <w:p w14:paraId="736B217F" w14:textId="42AF998D" w:rsidR="00825FFB" w:rsidRPr="006A5EB5" w:rsidRDefault="00825FFB" w:rsidP="00EC37CA">
      <w:pPr>
        <w:pStyle w:val="MDPI71References"/>
        <w:numPr>
          <w:ilvl w:val="0"/>
          <w:numId w:val="0"/>
        </w:numPr>
        <w:spacing w:line="240" w:lineRule="auto"/>
        <w:ind w:left="425" w:hanging="425"/>
        <w:rPr>
          <w:rFonts w:ascii="Times New Roman" w:hAnsi="Times New Roman"/>
          <w:color w:val="000000" w:themeColor="text1"/>
          <w:sz w:val="22"/>
          <w:szCs w:val="22"/>
          <w:shd w:val="clear" w:color="auto" w:fill="FFFFFF"/>
        </w:rPr>
      </w:pPr>
      <w:r w:rsidRPr="006A5EB5">
        <w:rPr>
          <w:rFonts w:ascii="Times New Roman" w:hAnsi="Times New Roman"/>
          <w:color w:val="000000" w:themeColor="text1"/>
          <w:sz w:val="22"/>
          <w:szCs w:val="22"/>
          <w:shd w:val="clear" w:color="auto" w:fill="FFFFFF"/>
        </w:rPr>
        <w:t xml:space="preserve">Idris T, Khanum S, Uddin MS, </w:t>
      </w:r>
      <w:proofErr w:type="spellStart"/>
      <w:r w:rsidRPr="006A5EB5">
        <w:rPr>
          <w:rFonts w:ascii="Times New Roman" w:hAnsi="Times New Roman"/>
          <w:color w:val="000000" w:themeColor="text1"/>
          <w:sz w:val="22"/>
          <w:szCs w:val="22"/>
          <w:shd w:val="clear" w:color="auto" w:fill="FFFFFF"/>
        </w:rPr>
        <w:t>Asaduzzaman</w:t>
      </w:r>
      <w:proofErr w:type="spellEnd"/>
      <w:r w:rsidRPr="006A5EB5">
        <w:rPr>
          <w:rFonts w:ascii="Times New Roman" w:hAnsi="Times New Roman"/>
          <w:color w:val="000000" w:themeColor="text1"/>
          <w:sz w:val="22"/>
          <w:szCs w:val="22"/>
          <w:shd w:val="clear" w:color="auto" w:fill="FFFFFF"/>
        </w:rPr>
        <w:t xml:space="preserve"> M, Islam MA, Nasrin F, Haider SS. Study on </w:t>
      </w:r>
      <w:r w:rsidR="00EA1948" w:rsidRPr="006A5EB5">
        <w:rPr>
          <w:rFonts w:ascii="Times New Roman" w:hAnsi="Times New Roman"/>
          <w:color w:val="000000" w:themeColor="text1"/>
          <w:sz w:val="22"/>
          <w:szCs w:val="22"/>
          <w:shd w:val="clear" w:color="auto" w:fill="FFFFFF"/>
        </w:rPr>
        <w:t>self-medication</w:t>
      </w:r>
      <w:r w:rsidRPr="006A5EB5">
        <w:rPr>
          <w:rFonts w:ascii="Times New Roman" w:hAnsi="Times New Roman"/>
          <w:color w:val="000000" w:themeColor="text1"/>
          <w:sz w:val="22"/>
          <w:szCs w:val="22"/>
          <w:shd w:val="clear" w:color="auto" w:fill="FFFFFF"/>
        </w:rPr>
        <w:t xml:space="preserve"> practices among university students of Bangladesh. J Adv Med </w:t>
      </w:r>
      <w:proofErr w:type="spellStart"/>
      <w:r w:rsidRPr="006A5EB5">
        <w:rPr>
          <w:rFonts w:ascii="Times New Roman" w:hAnsi="Times New Roman"/>
          <w:color w:val="000000" w:themeColor="text1"/>
          <w:sz w:val="22"/>
          <w:szCs w:val="22"/>
          <w:shd w:val="clear" w:color="auto" w:fill="FFFFFF"/>
        </w:rPr>
        <w:t>Med</w:t>
      </w:r>
      <w:proofErr w:type="spellEnd"/>
      <w:r w:rsidRPr="006A5EB5">
        <w:rPr>
          <w:rFonts w:ascii="Times New Roman" w:hAnsi="Times New Roman"/>
          <w:color w:val="000000" w:themeColor="text1"/>
          <w:sz w:val="22"/>
          <w:szCs w:val="22"/>
          <w:shd w:val="clear" w:color="auto" w:fill="FFFFFF"/>
        </w:rPr>
        <w:t xml:space="preserve"> Res. 2016;14(6):1–8. doi:10.9734/BJMMR/2016/24364.</w:t>
      </w:r>
    </w:p>
    <w:p w14:paraId="6FF0EA5D" w14:textId="28A005EF" w:rsidR="00825FFB" w:rsidRPr="006A5EB5" w:rsidRDefault="00825FFB" w:rsidP="00057498">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rPr>
        <w:t xml:space="preserve">James, H., et al. “Influence of Medical Training on </w:t>
      </w:r>
      <w:r w:rsidR="00EA1948" w:rsidRPr="006A5EB5">
        <w:rPr>
          <w:rFonts w:ascii="Times New Roman" w:hAnsi="Times New Roman"/>
          <w:color w:val="000000" w:themeColor="text1"/>
          <w:sz w:val="22"/>
          <w:szCs w:val="22"/>
        </w:rPr>
        <w:t>Self-medication</w:t>
      </w:r>
      <w:r w:rsidRPr="006A5EB5">
        <w:rPr>
          <w:rFonts w:ascii="Times New Roman" w:hAnsi="Times New Roman"/>
          <w:color w:val="000000" w:themeColor="text1"/>
          <w:sz w:val="22"/>
          <w:szCs w:val="22"/>
        </w:rPr>
        <w:t xml:space="preserve"> by Students.” International Journal of Clinical Pharmacology and Therapeutics, vol. 46, no. 1, Jan. 2008, pp. 23–29. PubMed, https://doi.org/10.5414/cpp46023.</w:t>
      </w:r>
    </w:p>
    <w:p w14:paraId="085BDAEA" w14:textId="77777777" w:rsidR="00825FFB" w:rsidRPr="006A5EB5"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shd w:val="clear" w:color="auto" w:fill="FFFFFF"/>
        </w:rPr>
        <w:t>Jasim, Ali L., et al. “</w:t>
      </w:r>
      <w:proofErr w:type="spellStart"/>
      <w:r w:rsidRPr="006A5EB5">
        <w:rPr>
          <w:rFonts w:ascii="Times New Roman" w:hAnsi="Times New Roman"/>
          <w:color w:val="000000" w:themeColor="text1"/>
          <w:sz w:val="22"/>
          <w:szCs w:val="22"/>
          <w:shd w:val="clear" w:color="auto" w:fill="FFFFFF"/>
        </w:rPr>
        <w:t>Self Medication</w:t>
      </w:r>
      <w:proofErr w:type="spellEnd"/>
      <w:r w:rsidRPr="006A5EB5">
        <w:rPr>
          <w:rFonts w:ascii="Times New Roman" w:hAnsi="Times New Roman"/>
          <w:color w:val="000000" w:themeColor="text1"/>
          <w:sz w:val="22"/>
          <w:szCs w:val="22"/>
          <w:shd w:val="clear" w:color="auto" w:fill="FFFFFF"/>
        </w:rPr>
        <w:t xml:space="preserve"> Practice among Iraqi Patients in Baghdad City.” </w:t>
      </w:r>
      <w:r w:rsidRPr="006A5EB5">
        <w:rPr>
          <w:rFonts w:ascii="Times New Roman" w:hAnsi="Times New Roman"/>
          <w:i/>
          <w:iCs/>
          <w:color w:val="000000" w:themeColor="text1"/>
          <w:sz w:val="22"/>
          <w:szCs w:val="22"/>
          <w:shd w:val="clear" w:color="auto" w:fill="FFFFFF"/>
        </w:rPr>
        <w:t>American Journal of Pharmacological Sciences</w:t>
      </w:r>
      <w:r w:rsidRPr="006A5EB5">
        <w:rPr>
          <w:rFonts w:ascii="Times New Roman" w:hAnsi="Times New Roman"/>
          <w:color w:val="000000" w:themeColor="text1"/>
          <w:sz w:val="22"/>
          <w:szCs w:val="22"/>
          <w:shd w:val="clear" w:color="auto" w:fill="FFFFFF"/>
        </w:rPr>
        <w:t>, vol. 2, no. 1, Jan. 2014, pp. 18–23. </w:t>
      </w:r>
      <w:r w:rsidRPr="006A5EB5">
        <w:rPr>
          <w:rFonts w:ascii="Times New Roman" w:hAnsi="Times New Roman"/>
          <w:i/>
          <w:iCs/>
          <w:color w:val="000000" w:themeColor="text1"/>
          <w:sz w:val="22"/>
          <w:szCs w:val="22"/>
          <w:shd w:val="clear" w:color="auto" w:fill="FFFFFF"/>
        </w:rPr>
        <w:t>pubs.sciepub.com</w:t>
      </w:r>
      <w:r w:rsidRPr="006A5EB5">
        <w:rPr>
          <w:rFonts w:ascii="Times New Roman" w:hAnsi="Times New Roman"/>
          <w:color w:val="000000" w:themeColor="text1"/>
          <w:sz w:val="22"/>
          <w:szCs w:val="22"/>
          <w:shd w:val="clear" w:color="auto" w:fill="FFFFFF"/>
        </w:rPr>
        <w:t>, https://doi.org/10.12691/ajps-2-1-4.</w:t>
      </w:r>
    </w:p>
    <w:p w14:paraId="17BBCF11" w14:textId="77777777" w:rsidR="00825FFB" w:rsidRPr="006A5EB5" w:rsidRDefault="00825FFB" w:rsidP="005D414E">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rPr>
        <w:t>Kaye, Alan D., et al. “Pain Management in the Elderly Population: A Review.” </w:t>
      </w:r>
      <w:r w:rsidRPr="006A5EB5">
        <w:rPr>
          <w:rFonts w:ascii="Times New Roman" w:hAnsi="Times New Roman"/>
          <w:i/>
          <w:iCs/>
          <w:color w:val="000000" w:themeColor="text1"/>
          <w:sz w:val="22"/>
          <w:szCs w:val="22"/>
        </w:rPr>
        <w:t>Ochsner Journal</w:t>
      </w:r>
      <w:r w:rsidRPr="006A5EB5">
        <w:rPr>
          <w:rFonts w:ascii="Times New Roman" w:hAnsi="Times New Roman"/>
          <w:color w:val="000000" w:themeColor="text1"/>
          <w:sz w:val="22"/>
          <w:szCs w:val="22"/>
        </w:rPr>
        <w:t>, vol. 10, no. 3, 2010, pp. 179–87. </w:t>
      </w:r>
      <w:r w:rsidRPr="006A5EB5">
        <w:rPr>
          <w:rFonts w:ascii="Times New Roman" w:hAnsi="Times New Roman"/>
          <w:i/>
          <w:iCs/>
          <w:color w:val="000000" w:themeColor="text1"/>
          <w:sz w:val="22"/>
          <w:szCs w:val="22"/>
        </w:rPr>
        <w:t>PubMed</w:t>
      </w:r>
      <w:r w:rsidRPr="006A5EB5">
        <w:rPr>
          <w:rFonts w:ascii="Times New Roman" w:hAnsi="Times New Roman"/>
          <w:color w:val="000000" w:themeColor="text1"/>
          <w:sz w:val="22"/>
          <w:szCs w:val="22"/>
        </w:rPr>
        <w:t xml:space="preserve">. </w:t>
      </w:r>
    </w:p>
    <w:p w14:paraId="1B0388FC" w14:textId="77AA4E58" w:rsidR="00825FFB" w:rsidRPr="006A5EB5"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rPr>
        <w:lastRenderedPageBreak/>
        <w:t xml:space="preserve">Krasniqi, Gentiana, et al. “Excessive </w:t>
      </w:r>
      <w:r w:rsidR="00EA1948" w:rsidRPr="006A5EB5">
        <w:rPr>
          <w:rFonts w:ascii="Times New Roman" w:hAnsi="Times New Roman"/>
          <w:color w:val="000000" w:themeColor="text1"/>
          <w:sz w:val="22"/>
          <w:szCs w:val="22"/>
        </w:rPr>
        <w:t>Self-medication</w:t>
      </w:r>
      <w:r w:rsidRPr="006A5EB5">
        <w:rPr>
          <w:rFonts w:ascii="Times New Roman" w:hAnsi="Times New Roman"/>
          <w:color w:val="000000" w:themeColor="text1"/>
          <w:sz w:val="22"/>
          <w:szCs w:val="22"/>
        </w:rPr>
        <w:t xml:space="preserve"> with Prescription NSAIDs: A Cross-Sectional Study in Kosovo.” Pharmacy (Basel, Switzerland), vol. 12, no. 3, June 2024, p. 93. PubMed, https://doi.org/10.3390/pharmacy12030093.</w:t>
      </w:r>
    </w:p>
    <w:p w14:paraId="71AADBCC" w14:textId="15479156" w:rsidR="00825FFB" w:rsidRPr="006A5EB5" w:rsidRDefault="00825FFB" w:rsidP="00255484">
      <w:pPr>
        <w:pStyle w:val="MDPI71References"/>
        <w:numPr>
          <w:ilvl w:val="0"/>
          <w:numId w:val="0"/>
        </w:numPr>
        <w:spacing w:line="240" w:lineRule="auto"/>
        <w:ind w:left="425" w:hanging="425"/>
        <w:rPr>
          <w:rFonts w:ascii="Times New Roman" w:hAnsi="Times New Roman"/>
          <w:color w:val="000000" w:themeColor="text1"/>
          <w:sz w:val="22"/>
          <w:szCs w:val="22"/>
        </w:rPr>
      </w:pPr>
      <w:proofErr w:type="spellStart"/>
      <w:r w:rsidRPr="006A5EB5">
        <w:rPr>
          <w:rFonts w:ascii="Times New Roman" w:hAnsi="Times New Roman"/>
          <w:color w:val="000000" w:themeColor="text1"/>
          <w:sz w:val="22"/>
          <w:szCs w:val="22"/>
        </w:rPr>
        <w:t>Lakatta</w:t>
      </w:r>
      <w:proofErr w:type="spellEnd"/>
      <w:r w:rsidRPr="006A5EB5">
        <w:rPr>
          <w:rFonts w:ascii="Times New Roman" w:hAnsi="Times New Roman"/>
          <w:color w:val="000000" w:themeColor="text1"/>
          <w:sz w:val="22"/>
          <w:szCs w:val="22"/>
        </w:rPr>
        <w:t xml:space="preserve">, Edward G. “Age-Associated Cardiovascular Changes in Health: Impact on Cardiovascular Disease in Older Persons.” Heart Failure Reviews, vol. 7, no. 1, Jan. 2002, pp. 29–49. Springer Link, </w:t>
      </w:r>
      <w:r w:rsidR="00191E22" w:rsidRPr="006A5EB5">
        <w:rPr>
          <w:rFonts w:ascii="Times New Roman" w:hAnsi="Times New Roman"/>
          <w:color w:val="000000" w:themeColor="text1"/>
          <w:sz w:val="22"/>
          <w:szCs w:val="22"/>
        </w:rPr>
        <w:t>https://doi.org/10.1023/A:1013797722156</w:t>
      </w:r>
      <w:r w:rsidRPr="006A5EB5">
        <w:rPr>
          <w:rFonts w:ascii="Times New Roman" w:hAnsi="Times New Roman"/>
          <w:color w:val="000000" w:themeColor="text1"/>
          <w:sz w:val="22"/>
          <w:szCs w:val="22"/>
        </w:rPr>
        <w:t>.</w:t>
      </w:r>
    </w:p>
    <w:p w14:paraId="4D6BA8F8" w14:textId="64633398" w:rsidR="00191E22" w:rsidRPr="006A5EB5" w:rsidRDefault="00191E22" w:rsidP="00255484">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rPr>
        <w:t>Limbu, Yam B., and Bruce A. Huhmann. “Illicit Online Pharmacies: A Scoping Review.” </w:t>
      </w:r>
      <w:r w:rsidRPr="006A5EB5">
        <w:rPr>
          <w:rFonts w:ascii="Times New Roman" w:hAnsi="Times New Roman"/>
          <w:i/>
          <w:iCs/>
          <w:color w:val="000000" w:themeColor="text1"/>
          <w:sz w:val="22"/>
          <w:szCs w:val="22"/>
        </w:rPr>
        <w:t>International Journal of Environmental Research and Public Health</w:t>
      </w:r>
      <w:r w:rsidRPr="006A5EB5">
        <w:rPr>
          <w:rFonts w:ascii="Times New Roman" w:hAnsi="Times New Roman"/>
          <w:color w:val="000000" w:themeColor="text1"/>
          <w:sz w:val="22"/>
          <w:szCs w:val="22"/>
        </w:rPr>
        <w:t>, vol. 20, no. 9, May 2023, p. 5748. </w:t>
      </w:r>
      <w:r w:rsidRPr="006A5EB5">
        <w:rPr>
          <w:rFonts w:ascii="Times New Roman" w:hAnsi="Times New Roman"/>
          <w:i/>
          <w:iCs/>
          <w:color w:val="000000" w:themeColor="text1"/>
          <w:sz w:val="22"/>
          <w:szCs w:val="22"/>
        </w:rPr>
        <w:t>DOI.org (</w:t>
      </w:r>
      <w:proofErr w:type="spellStart"/>
      <w:r w:rsidRPr="006A5EB5">
        <w:rPr>
          <w:rFonts w:ascii="Times New Roman" w:hAnsi="Times New Roman"/>
          <w:i/>
          <w:iCs/>
          <w:color w:val="000000" w:themeColor="text1"/>
          <w:sz w:val="22"/>
          <w:szCs w:val="22"/>
        </w:rPr>
        <w:t>Crossref</w:t>
      </w:r>
      <w:proofErr w:type="spellEnd"/>
      <w:r w:rsidRPr="006A5EB5">
        <w:rPr>
          <w:rFonts w:ascii="Times New Roman" w:hAnsi="Times New Roman"/>
          <w:i/>
          <w:iCs/>
          <w:color w:val="000000" w:themeColor="text1"/>
          <w:sz w:val="22"/>
          <w:szCs w:val="22"/>
        </w:rPr>
        <w:t>)</w:t>
      </w:r>
      <w:r w:rsidRPr="006A5EB5">
        <w:rPr>
          <w:rFonts w:ascii="Times New Roman" w:hAnsi="Times New Roman"/>
          <w:color w:val="000000" w:themeColor="text1"/>
          <w:sz w:val="22"/>
          <w:szCs w:val="22"/>
        </w:rPr>
        <w:t xml:space="preserve">, </w:t>
      </w:r>
      <w:r w:rsidR="00C95749" w:rsidRPr="006A5EB5">
        <w:rPr>
          <w:rFonts w:ascii="Times New Roman" w:hAnsi="Times New Roman"/>
          <w:color w:val="000000" w:themeColor="text1"/>
          <w:sz w:val="22"/>
          <w:szCs w:val="22"/>
        </w:rPr>
        <w:t>https://doi.org/10.3390/ijerph20095748</w:t>
      </w:r>
      <w:r w:rsidRPr="006A5EB5">
        <w:rPr>
          <w:rFonts w:ascii="Times New Roman" w:hAnsi="Times New Roman"/>
          <w:color w:val="000000" w:themeColor="text1"/>
          <w:sz w:val="22"/>
          <w:szCs w:val="22"/>
        </w:rPr>
        <w:t>.</w:t>
      </w:r>
    </w:p>
    <w:p w14:paraId="2C908A29" w14:textId="0487635E" w:rsidR="00C95749" w:rsidRPr="006A5EB5" w:rsidRDefault="00C95749" w:rsidP="00255484">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rPr>
        <w:t xml:space="preserve">Mackey, Tim K., and </w:t>
      </w:r>
      <w:proofErr w:type="spellStart"/>
      <w:r w:rsidRPr="006A5EB5">
        <w:rPr>
          <w:rFonts w:ascii="Times New Roman" w:hAnsi="Times New Roman"/>
          <w:color w:val="000000" w:themeColor="text1"/>
          <w:sz w:val="22"/>
          <w:szCs w:val="22"/>
        </w:rPr>
        <w:t>Gaurvika</w:t>
      </w:r>
      <w:proofErr w:type="spellEnd"/>
      <w:r w:rsidRPr="006A5EB5">
        <w:rPr>
          <w:rFonts w:ascii="Times New Roman" w:hAnsi="Times New Roman"/>
          <w:color w:val="000000" w:themeColor="text1"/>
          <w:sz w:val="22"/>
          <w:szCs w:val="22"/>
        </w:rPr>
        <w:t xml:space="preserve"> Nayyar. “Digital Danger: A Review of the Global Public Health, Patient Safety and Cybersecurity Threats Posed by Illicit Online Pharmacies.” </w:t>
      </w:r>
      <w:r w:rsidRPr="006A5EB5">
        <w:rPr>
          <w:rFonts w:ascii="Times New Roman" w:hAnsi="Times New Roman"/>
          <w:i/>
          <w:iCs/>
          <w:color w:val="000000" w:themeColor="text1"/>
          <w:sz w:val="22"/>
          <w:szCs w:val="22"/>
        </w:rPr>
        <w:t>British Medical Bulletin</w:t>
      </w:r>
      <w:r w:rsidRPr="006A5EB5">
        <w:rPr>
          <w:rFonts w:ascii="Times New Roman" w:hAnsi="Times New Roman"/>
          <w:color w:val="000000" w:themeColor="text1"/>
          <w:sz w:val="22"/>
          <w:szCs w:val="22"/>
        </w:rPr>
        <w:t>, vol. 118, no. 1, June 2016, pp. 110–26. </w:t>
      </w:r>
      <w:r w:rsidRPr="006A5EB5">
        <w:rPr>
          <w:rFonts w:ascii="Times New Roman" w:hAnsi="Times New Roman"/>
          <w:i/>
          <w:iCs/>
          <w:color w:val="000000" w:themeColor="text1"/>
          <w:sz w:val="22"/>
          <w:szCs w:val="22"/>
        </w:rPr>
        <w:t>DOI.org (</w:t>
      </w:r>
      <w:proofErr w:type="spellStart"/>
      <w:r w:rsidRPr="006A5EB5">
        <w:rPr>
          <w:rFonts w:ascii="Times New Roman" w:hAnsi="Times New Roman"/>
          <w:i/>
          <w:iCs/>
          <w:color w:val="000000" w:themeColor="text1"/>
          <w:sz w:val="22"/>
          <w:szCs w:val="22"/>
        </w:rPr>
        <w:t>Crossref</w:t>
      </w:r>
      <w:proofErr w:type="spellEnd"/>
      <w:r w:rsidRPr="006A5EB5">
        <w:rPr>
          <w:rFonts w:ascii="Times New Roman" w:hAnsi="Times New Roman"/>
          <w:i/>
          <w:iCs/>
          <w:color w:val="000000" w:themeColor="text1"/>
          <w:sz w:val="22"/>
          <w:szCs w:val="22"/>
        </w:rPr>
        <w:t>)</w:t>
      </w:r>
      <w:r w:rsidRPr="006A5EB5">
        <w:rPr>
          <w:rFonts w:ascii="Times New Roman" w:hAnsi="Times New Roman"/>
          <w:color w:val="000000" w:themeColor="text1"/>
          <w:sz w:val="22"/>
          <w:szCs w:val="22"/>
        </w:rPr>
        <w:t>, https://doi.org/10.1093/bmb/ldw016.</w:t>
      </w:r>
    </w:p>
    <w:p w14:paraId="42BF206A" w14:textId="77777777" w:rsidR="00825FFB" w:rsidRPr="006A5EB5" w:rsidRDefault="00825FFB" w:rsidP="00057498">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rPr>
        <w:t xml:space="preserve"> North, Brian J., and David A. Sinclair. “The Intersection between Aging and Cardiovascular Disease.” </w:t>
      </w:r>
      <w:r w:rsidRPr="006A5EB5">
        <w:rPr>
          <w:rFonts w:ascii="Times New Roman" w:hAnsi="Times New Roman"/>
          <w:i/>
          <w:iCs/>
          <w:color w:val="000000" w:themeColor="text1"/>
          <w:sz w:val="22"/>
          <w:szCs w:val="22"/>
        </w:rPr>
        <w:t>Circulation Research</w:t>
      </w:r>
      <w:r w:rsidRPr="006A5EB5">
        <w:rPr>
          <w:rFonts w:ascii="Times New Roman" w:hAnsi="Times New Roman"/>
          <w:color w:val="000000" w:themeColor="text1"/>
          <w:sz w:val="22"/>
          <w:szCs w:val="22"/>
        </w:rPr>
        <w:t>, vol. 110, no. 8, Apr. 2012, pp. 1097–108. </w:t>
      </w:r>
      <w:r w:rsidRPr="006A5EB5">
        <w:rPr>
          <w:rFonts w:ascii="Times New Roman" w:hAnsi="Times New Roman"/>
          <w:i/>
          <w:iCs/>
          <w:color w:val="000000" w:themeColor="text1"/>
          <w:sz w:val="22"/>
          <w:szCs w:val="22"/>
        </w:rPr>
        <w:t>PubMed</w:t>
      </w:r>
      <w:r w:rsidRPr="006A5EB5">
        <w:rPr>
          <w:rFonts w:ascii="Times New Roman" w:hAnsi="Times New Roman"/>
          <w:color w:val="000000" w:themeColor="text1"/>
          <w:sz w:val="22"/>
          <w:szCs w:val="22"/>
        </w:rPr>
        <w:t xml:space="preserve">, https://doi.org/10.1161/CIRCRESAHA.111.246876. </w:t>
      </w:r>
    </w:p>
    <w:p w14:paraId="394B4D5D" w14:textId="77777777" w:rsidR="00825FFB" w:rsidRPr="006A5EB5" w:rsidRDefault="00825FFB" w:rsidP="00B030F7">
      <w:pPr>
        <w:pStyle w:val="MDPI71References"/>
        <w:numPr>
          <w:ilvl w:val="0"/>
          <w:numId w:val="0"/>
        </w:numPr>
        <w:spacing w:line="240" w:lineRule="auto"/>
        <w:ind w:left="425" w:hanging="425"/>
        <w:rPr>
          <w:rFonts w:ascii="Times New Roman" w:hAnsi="Times New Roman"/>
          <w:color w:val="000000" w:themeColor="text1"/>
          <w:shd w:val="clear" w:color="auto" w:fill="FFFFFF"/>
        </w:rPr>
      </w:pPr>
      <w:r w:rsidRPr="006A5EB5">
        <w:rPr>
          <w:rFonts w:ascii="Times New Roman" w:hAnsi="Times New Roman"/>
          <w:color w:val="000000" w:themeColor="text1"/>
          <w:sz w:val="22"/>
          <w:szCs w:val="22"/>
        </w:rPr>
        <w:t>Osei-Tutu, Solomon, et al. “Patterns and Social Factors Associated with Non-Prescription Use of Tramadol: A Cross-Sectional Study among Youth in Urban Informal Settlements in Ghana.” </w:t>
      </w:r>
      <w:r w:rsidRPr="006A5EB5">
        <w:rPr>
          <w:rFonts w:ascii="Times New Roman" w:hAnsi="Times New Roman"/>
          <w:i/>
          <w:iCs/>
          <w:color w:val="000000" w:themeColor="text1"/>
          <w:sz w:val="22"/>
          <w:szCs w:val="22"/>
        </w:rPr>
        <w:t>Journal of Health, Population, and Nutrition</w:t>
      </w:r>
      <w:r w:rsidRPr="006A5EB5">
        <w:rPr>
          <w:rFonts w:ascii="Times New Roman" w:hAnsi="Times New Roman"/>
          <w:color w:val="000000" w:themeColor="text1"/>
          <w:sz w:val="22"/>
          <w:szCs w:val="22"/>
        </w:rPr>
        <w:t>, vol. 43, no. 1, Nov. 2024, p. 191. </w:t>
      </w:r>
      <w:r w:rsidRPr="006A5EB5">
        <w:rPr>
          <w:rFonts w:ascii="Times New Roman" w:hAnsi="Times New Roman"/>
          <w:i/>
          <w:iCs/>
          <w:color w:val="000000" w:themeColor="text1"/>
          <w:sz w:val="22"/>
          <w:szCs w:val="22"/>
        </w:rPr>
        <w:t>PubMed</w:t>
      </w:r>
      <w:r w:rsidRPr="006A5EB5">
        <w:rPr>
          <w:rFonts w:ascii="Times New Roman" w:hAnsi="Times New Roman"/>
          <w:color w:val="000000" w:themeColor="text1"/>
          <w:sz w:val="22"/>
          <w:szCs w:val="22"/>
        </w:rPr>
        <w:t>, https://doi.org/10.1186/s41043-024-00688-z</w:t>
      </w:r>
      <w:r w:rsidRPr="006A5EB5">
        <w:rPr>
          <w:rFonts w:ascii="Times New Roman" w:hAnsi="Times New Roman"/>
          <w:color w:val="000000" w:themeColor="text1"/>
          <w:sz w:val="22"/>
          <w:szCs w:val="22"/>
          <w:shd w:val="clear" w:color="auto" w:fill="FFFFFF"/>
        </w:rPr>
        <w:t>.</w:t>
      </w:r>
      <w:r w:rsidRPr="006A5EB5">
        <w:rPr>
          <w:rFonts w:ascii="Times New Roman" w:hAnsi="Times New Roman"/>
          <w:color w:val="000000" w:themeColor="text1"/>
          <w:shd w:val="clear" w:color="auto" w:fill="FFFFFF"/>
        </w:rPr>
        <w:t> </w:t>
      </w:r>
    </w:p>
    <w:p w14:paraId="18E3ADDF" w14:textId="365236C5" w:rsidR="00825FFB" w:rsidRPr="006A5EB5"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shd w:val="clear" w:color="auto" w:fill="FFFFFF"/>
        </w:rPr>
      </w:pPr>
      <w:r w:rsidRPr="006A5EB5">
        <w:rPr>
          <w:rFonts w:ascii="Times New Roman" w:hAnsi="Times New Roman"/>
          <w:color w:val="000000" w:themeColor="text1"/>
          <w:sz w:val="22"/>
          <w:szCs w:val="22"/>
          <w:shd w:val="clear" w:color="auto" w:fill="FFFFFF"/>
        </w:rPr>
        <w:t xml:space="preserve">Saha, Ayan, et al. “Prevalence and Determinants of </w:t>
      </w:r>
      <w:r w:rsidR="00EA1948" w:rsidRPr="006A5EB5">
        <w:rPr>
          <w:rFonts w:ascii="Times New Roman" w:hAnsi="Times New Roman"/>
          <w:color w:val="000000" w:themeColor="text1"/>
          <w:sz w:val="22"/>
          <w:szCs w:val="22"/>
          <w:shd w:val="clear" w:color="auto" w:fill="FFFFFF"/>
        </w:rPr>
        <w:t>Self-medication</w:t>
      </w:r>
      <w:r w:rsidRPr="006A5EB5">
        <w:rPr>
          <w:rFonts w:ascii="Times New Roman" w:hAnsi="Times New Roman"/>
          <w:color w:val="000000" w:themeColor="text1"/>
          <w:sz w:val="22"/>
          <w:szCs w:val="22"/>
          <w:shd w:val="clear" w:color="auto" w:fill="FFFFFF"/>
        </w:rPr>
        <w:t xml:space="preserve"> Practices among general Population: A Cross-Sectional Study in Thimphu, Bhutan and Chattogram, Bangladesh.” Journal of Public Health Research, vol. 12, no. 1, Jan. 2023, p. 22799036231152327. PubMed Central, https://doi.org/10.1177/22799036231152327.</w:t>
      </w:r>
    </w:p>
    <w:p w14:paraId="7192099E" w14:textId="65BD73AF" w:rsidR="00825FFB" w:rsidRPr="006A5EB5"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shd w:val="clear" w:color="auto" w:fill="FFFFFF"/>
        </w:rPr>
        <w:t>Shah, Syed Jawad, et al. “</w:t>
      </w:r>
      <w:r w:rsidR="00EA1948" w:rsidRPr="006A5EB5">
        <w:rPr>
          <w:rFonts w:ascii="Times New Roman" w:hAnsi="Times New Roman"/>
          <w:color w:val="000000" w:themeColor="text1"/>
          <w:sz w:val="22"/>
          <w:szCs w:val="22"/>
          <w:shd w:val="clear" w:color="auto" w:fill="FFFFFF"/>
        </w:rPr>
        <w:t>Self-medication</w:t>
      </w:r>
      <w:r w:rsidRPr="006A5EB5">
        <w:rPr>
          <w:rFonts w:ascii="Times New Roman" w:hAnsi="Times New Roman"/>
          <w:color w:val="000000" w:themeColor="text1"/>
          <w:sz w:val="22"/>
          <w:szCs w:val="22"/>
          <w:shd w:val="clear" w:color="auto" w:fill="FFFFFF"/>
        </w:rPr>
        <w:t xml:space="preserve"> with Antibiotics among Non-Medical University Students of Karachi: A Cross-Sectional Study.” </w:t>
      </w:r>
      <w:r w:rsidRPr="006A5EB5">
        <w:rPr>
          <w:rFonts w:ascii="Times New Roman" w:hAnsi="Times New Roman"/>
          <w:i/>
          <w:iCs/>
          <w:color w:val="000000" w:themeColor="text1"/>
          <w:sz w:val="22"/>
          <w:szCs w:val="22"/>
          <w:shd w:val="clear" w:color="auto" w:fill="FFFFFF"/>
        </w:rPr>
        <w:t>BMC Pharmacology and Toxicology</w:t>
      </w:r>
      <w:r w:rsidRPr="006A5EB5">
        <w:rPr>
          <w:rFonts w:ascii="Times New Roman" w:hAnsi="Times New Roman"/>
          <w:color w:val="000000" w:themeColor="text1"/>
          <w:sz w:val="22"/>
          <w:szCs w:val="22"/>
          <w:shd w:val="clear" w:color="auto" w:fill="FFFFFF"/>
        </w:rPr>
        <w:t>, vol. 15, no. 1, Dec. 2014, p. 74. </w:t>
      </w:r>
      <w:r w:rsidRPr="006A5EB5">
        <w:rPr>
          <w:rFonts w:ascii="Times New Roman" w:hAnsi="Times New Roman"/>
          <w:i/>
          <w:iCs/>
          <w:color w:val="000000" w:themeColor="text1"/>
          <w:sz w:val="22"/>
          <w:szCs w:val="22"/>
          <w:shd w:val="clear" w:color="auto" w:fill="FFFFFF"/>
        </w:rPr>
        <w:t>Springer Link</w:t>
      </w:r>
      <w:r w:rsidRPr="006A5EB5">
        <w:rPr>
          <w:rFonts w:ascii="Times New Roman" w:hAnsi="Times New Roman"/>
          <w:color w:val="000000" w:themeColor="text1"/>
          <w:sz w:val="22"/>
          <w:szCs w:val="22"/>
          <w:shd w:val="clear" w:color="auto" w:fill="FFFFFF"/>
        </w:rPr>
        <w:t>, https://doi.org/10.1186/2050-6511-15-74.</w:t>
      </w:r>
      <w:r w:rsidRPr="006A5EB5">
        <w:rPr>
          <w:rFonts w:ascii="Times New Roman" w:hAnsi="Times New Roman"/>
          <w:color w:val="000000" w:themeColor="text1"/>
          <w:sz w:val="22"/>
          <w:szCs w:val="22"/>
        </w:rPr>
        <w:t xml:space="preserve"> </w:t>
      </w:r>
    </w:p>
    <w:p w14:paraId="0A87E8CA" w14:textId="55A69990" w:rsidR="00825FFB" w:rsidRPr="006A5EB5" w:rsidRDefault="00825FFB" w:rsidP="00B030F7">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rPr>
        <w:t xml:space="preserve">Tian, Yu-Shi, et al. “Status and Influencing Factors of OTC Medicine Use for </w:t>
      </w:r>
      <w:r w:rsidR="00EA1948" w:rsidRPr="006A5EB5">
        <w:rPr>
          <w:rFonts w:ascii="Times New Roman" w:hAnsi="Times New Roman"/>
          <w:color w:val="000000" w:themeColor="text1"/>
          <w:sz w:val="22"/>
          <w:szCs w:val="22"/>
        </w:rPr>
        <w:t>Self-medication</w:t>
      </w:r>
      <w:r w:rsidRPr="006A5EB5">
        <w:rPr>
          <w:rFonts w:ascii="Times New Roman" w:hAnsi="Times New Roman"/>
          <w:color w:val="000000" w:themeColor="text1"/>
          <w:sz w:val="22"/>
          <w:szCs w:val="22"/>
        </w:rPr>
        <w:t xml:space="preserve"> in Cold and Cough: A Cross-Sectional Survey in Japan.” </w:t>
      </w:r>
      <w:r w:rsidRPr="006A5EB5">
        <w:rPr>
          <w:rFonts w:ascii="Times New Roman" w:hAnsi="Times New Roman"/>
          <w:i/>
          <w:iCs/>
          <w:color w:val="000000" w:themeColor="text1"/>
          <w:sz w:val="22"/>
          <w:szCs w:val="22"/>
        </w:rPr>
        <w:t>BMC Public Health</w:t>
      </w:r>
      <w:r w:rsidRPr="006A5EB5">
        <w:rPr>
          <w:rFonts w:ascii="Times New Roman" w:hAnsi="Times New Roman"/>
          <w:color w:val="000000" w:themeColor="text1"/>
          <w:sz w:val="22"/>
          <w:szCs w:val="22"/>
        </w:rPr>
        <w:t>, vol. 25, no. 1, May 2025, p. 1918. </w:t>
      </w:r>
      <w:r w:rsidRPr="006A5EB5">
        <w:rPr>
          <w:rFonts w:ascii="Times New Roman" w:hAnsi="Times New Roman"/>
          <w:i/>
          <w:iCs/>
          <w:color w:val="000000" w:themeColor="text1"/>
          <w:sz w:val="22"/>
          <w:szCs w:val="22"/>
        </w:rPr>
        <w:t>PubMed</w:t>
      </w:r>
      <w:r w:rsidRPr="006A5EB5">
        <w:rPr>
          <w:rFonts w:ascii="Times New Roman" w:hAnsi="Times New Roman"/>
          <w:color w:val="000000" w:themeColor="text1"/>
          <w:sz w:val="22"/>
          <w:szCs w:val="22"/>
        </w:rPr>
        <w:t xml:space="preserve">, </w:t>
      </w:r>
      <w:r w:rsidR="00B93C48" w:rsidRPr="006A5EB5">
        <w:rPr>
          <w:rFonts w:ascii="Times New Roman" w:hAnsi="Times New Roman"/>
          <w:color w:val="000000" w:themeColor="text1"/>
          <w:sz w:val="22"/>
          <w:szCs w:val="22"/>
        </w:rPr>
        <w:t>https://doi.org/10.1186/s12889-025-23113-4</w:t>
      </w:r>
      <w:r w:rsidRPr="006A5EB5">
        <w:rPr>
          <w:rFonts w:ascii="Times New Roman" w:hAnsi="Times New Roman"/>
          <w:color w:val="000000" w:themeColor="text1"/>
          <w:sz w:val="22"/>
          <w:szCs w:val="22"/>
        </w:rPr>
        <w:t>.</w:t>
      </w:r>
    </w:p>
    <w:p w14:paraId="3BCCD256" w14:textId="7841659F" w:rsidR="00B93C48" w:rsidRPr="006A5EB5" w:rsidRDefault="00B93C48" w:rsidP="00B030F7">
      <w:pPr>
        <w:pStyle w:val="MDPI71References"/>
        <w:numPr>
          <w:ilvl w:val="0"/>
          <w:numId w:val="0"/>
        </w:numPr>
        <w:spacing w:line="240" w:lineRule="auto"/>
        <w:ind w:left="425" w:hanging="425"/>
        <w:rPr>
          <w:rFonts w:ascii="Times New Roman" w:hAnsi="Times New Roman"/>
          <w:color w:val="000000" w:themeColor="text1"/>
          <w:sz w:val="22"/>
          <w:szCs w:val="22"/>
        </w:rPr>
      </w:pPr>
      <w:proofErr w:type="spellStart"/>
      <w:r w:rsidRPr="006A5EB5">
        <w:rPr>
          <w:rFonts w:ascii="Times New Roman" w:hAnsi="Times New Roman"/>
          <w:color w:val="000000" w:themeColor="text1"/>
          <w:sz w:val="22"/>
          <w:szCs w:val="22"/>
        </w:rPr>
        <w:t>Tohan</w:t>
      </w:r>
      <w:proofErr w:type="spellEnd"/>
      <w:r w:rsidRPr="006A5EB5">
        <w:rPr>
          <w:rFonts w:ascii="Times New Roman" w:hAnsi="Times New Roman"/>
          <w:color w:val="000000" w:themeColor="text1"/>
          <w:sz w:val="22"/>
          <w:szCs w:val="22"/>
        </w:rPr>
        <w:t xml:space="preserve">, </w:t>
      </w:r>
      <w:proofErr w:type="spellStart"/>
      <w:r w:rsidRPr="006A5EB5">
        <w:rPr>
          <w:rFonts w:ascii="Times New Roman" w:hAnsi="Times New Roman"/>
          <w:color w:val="000000" w:themeColor="text1"/>
          <w:sz w:val="22"/>
          <w:szCs w:val="22"/>
        </w:rPr>
        <w:t>Mortuja</w:t>
      </w:r>
      <w:proofErr w:type="spellEnd"/>
      <w:r w:rsidRPr="006A5EB5">
        <w:rPr>
          <w:rFonts w:ascii="Times New Roman" w:hAnsi="Times New Roman"/>
          <w:color w:val="000000" w:themeColor="text1"/>
          <w:sz w:val="22"/>
          <w:szCs w:val="22"/>
        </w:rPr>
        <w:t xml:space="preserve"> Mahamud, et al. “Knowledge Attitude and Convenience on </w:t>
      </w:r>
      <w:r w:rsidR="00EA1948" w:rsidRPr="006A5EB5">
        <w:rPr>
          <w:rFonts w:ascii="Times New Roman" w:hAnsi="Times New Roman"/>
          <w:color w:val="000000" w:themeColor="text1"/>
          <w:sz w:val="22"/>
          <w:szCs w:val="22"/>
        </w:rPr>
        <w:t>Self-medication</w:t>
      </w:r>
      <w:r w:rsidRPr="006A5EB5">
        <w:rPr>
          <w:rFonts w:ascii="Times New Roman" w:hAnsi="Times New Roman"/>
          <w:color w:val="000000" w:themeColor="text1"/>
          <w:sz w:val="22"/>
          <w:szCs w:val="22"/>
        </w:rPr>
        <w:t xml:space="preserve"> Practices among University Students in Bangladesh Exploration Using Structural Equation Modeling Approach.” </w:t>
      </w:r>
      <w:r w:rsidRPr="006A5EB5">
        <w:rPr>
          <w:rFonts w:ascii="Times New Roman" w:hAnsi="Times New Roman"/>
          <w:i/>
          <w:iCs/>
          <w:color w:val="000000" w:themeColor="text1"/>
          <w:sz w:val="22"/>
          <w:szCs w:val="22"/>
        </w:rPr>
        <w:t>Scientific Reports</w:t>
      </w:r>
      <w:r w:rsidRPr="006A5EB5">
        <w:rPr>
          <w:rFonts w:ascii="Times New Roman" w:hAnsi="Times New Roman"/>
          <w:color w:val="000000" w:themeColor="text1"/>
          <w:sz w:val="22"/>
          <w:szCs w:val="22"/>
        </w:rPr>
        <w:t>, vol. 14, no. 1, May 2024, p. 10837. </w:t>
      </w:r>
      <w:r w:rsidRPr="006A5EB5">
        <w:rPr>
          <w:rFonts w:ascii="Times New Roman" w:hAnsi="Times New Roman"/>
          <w:i/>
          <w:iCs/>
          <w:color w:val="000000" w:themeColor="text1"/>
          <w:sz w:val="22"/>
          <w:szCs w:val="22"/>
        </w:rPr>
        <w:t>www.nature.com</w:t>
      </w:r>
      <w:r w:rsidRPr="006A5EB5">
        <w:rPr>
          <w:rFonts w:ascii="Times New Roman" w:hAnsi="Times New Roman"/>
          <w:color w:val="000000" w:themeColor="text1"/>
          <w:sz w:val="22"/>
          <w:szCs w:val="22"/>
        </w:rPr>
        <w:t>, https://doi.org/10.1038/s41598-024-60931-9.</w:t>
      </w:r>
    </w:p>
    <w:p w14:paraId="1AFA4090" w14:textId="77777777" w:rsidR="00825FFB" w:rsidRPr="006A5EB5" w:rsidRDefault="00825FFB" w:rsidP="004410EE">
      <w:pPr>
        <w:pStyle w:val="MDPI71References"/>
        <w:numPr>
          <w:ilvl w:val="0"/>
          <w:numId w:val="0"/>
        </w:numPr>
        <w:spacing w:line="240" w:lineRule="auto"/>
        <w:ind w:left="425" w:hanging="425"/>
        <w:rPr>
          <w:rFonts w:ascii="Times New Roman" w:hAnsi="Times New Roman"/>
          <w:color w:val="000000" w:themeColor="text1"/>
          <w:sz w:val="22"/>
          <w:szCs w:val="22"/>
        </w:rPr>
      </w:pPr>
      <w:proofErr w:type="spellStart"/>
      <w:r w:rsidRPr="006A5EB5">
        <w:rPr>
          <w:rFonts w:ascii="Times New Roman" w:hAnsi="Times New Roman"/>
          <w:color w:val="000000" w:themeColor="text1"/>
          <w:sz w:val="22"/>
          <w:szCs w:val="22"/>
        </w:rPr>
        <w:t>Widayati</w:t>
      </w:r>
      <w:proofErr w:type="spellEnd"/>
      <w:r w:rsidRPr="006A5EB5">
        <w:rPr>
          <w:rFonts w:ascii="Times New Roman" w:hAnsi="Times New Roman"/>
          <w:color w:val="000000" w:themeColor="text1"/>
          <w:sz w:val="22"/>
          <w:szCs w:val="22"/>
        </w:rPr>
        <w:t>, Aris, et al. “</w:t>
      </w:r>
      <w:proofErr w:type="spellStart"/>
      <w:r w:rsidRPr="006A5EB5">
        <w:rPr>
          <w:rFonts w:ascii="Times New Roman" w:hAnsi="Times New Roman"/>
          <w:color w:val="000000" w:themeColor="text1"/>
          <w:sz w:val="22"/>
          <w:szCs w:val="22"/>
        </w:rPr>
        <w:t>Self Medication</w:t>
      </w:r>
      <w:proofErr w:type="spellEnd"/>
      <w:r w:rsidRPr="006A5EB5">
        <w:rPr>
          <w:rFonts w:ascii="Times New Roman" w:hAnsi="Times New Roman"/>
          <w:color w:val="000000" w:themeColor="text1"/>
          <w:sz w:val="22"/>
          <w:szCs w:val="22"/>
        </w:rPr>
        <w:t xml:space="preserve"> with Antibiotics in Yogyakarta City Indonesia: A Cross Sectional Population-Based Survey.” BMC Research Notes, vol. 4, Nov. 2011, p. 491. PubMed, https://doi.org/10.1186/1756-0500-4-491.</w:t>
      </w:r>
    </w:p>
    <w:p w14:paraId="0D8B8A1D" w14:textId="7C9A0BCD" w:rsidR="00825FFB" w:rsidRPr="006A5EB5" w:rsidRDefault="00825FFB" w:rsidP="00057498">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rPr>
        <w:t xml:space="preserve">Worku, Solomon, and Abebe G/Mariam. “Practice of </w:t>
      </w:r>
      <w:r w:rsidR="00EA1948" w:rsidRPr="006A5EB5">
        <w:rPr>
          <w:rFonts w:ascii="Times New Roman" w:hAnsi="Times New Roman"/>
          <w:color w:val="000000" w:themeColor="text1"/>
          <w:sz w:val="22"/>
          <w:szCs w:val="22"/>
        </w:rPr>
        <w:t>Self-medication</w:t>
      </w:r>
      <w:r w:rsidRPr="006A5EB5">
        <w:rPr>
          <w:rFonts w:ascii="Times New Roman" w:hAnsi="Times New Roman"/>
          <w:color w:val="000000" w:themeColor="text1"/>
          <w:sz w:val="22"/>
          <w:szCs w:val="22"/>
        </w:rPr>
        <w:t xml:space="preserve"> in Jimma Town.” The Ethiopian Journal of Health Development, vol. 17, no. 2, 2003. ejol.aau.edu.et, https://ejol.aau.edu.et/index.php/EJHD/article/view/2300.</w:t>
      </w:r>
    </w:p>
    <w:p w14:paraId="3D3E3E0C" w14:textId="77777777" w:rsidR="00825FFB" w:rsidRPr="006A5EB5" w:rsidRDefault="00825FFB" w:rsidP="00087767">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rPr>
        <w:t>World Health Organization.</w:t>
      </w:r>
      <w:r w:rsidRPr="006A5EB5">
        <w:rPr>
          <w:rFonts w:ascii="Times New Roman" w:hAnsi="Times New Roman"/>
          <w:i/>
          <w:iCs/>
          <w:color w:val="000000" w:themeColor="text1"/>
          <w:sz w:val="22"/>
          <w:szCs w:val="22"/>
        </w:rPr>
        <w:t xml:space="preserve"> Antimicrobial Resistance. </w:t>
      </w:r>
      <w:r w:rsidRPr="006A5EB5">
        <w:rPr>
          <w:rFonts w:ascii="Times New Roman" w:hAnsi="Times New Roman"/>
          <w:color w:val="000000" w:themeColor="text1"/>
          <w:sz w:val="22"/>
          <w:szCs w:val="22"/>
        </w:rPr>
        <w:t>https://www.who.int/news-room/fact sheets/detail/antimicrobial-resistance. Accessed 18 Dec. 2025.</w:t>
      </w:r>
    </w:p>
    <w:p w14:paraId="17DF1F17" w14:textId="3C05729D" w:rsidR="00825FFB" w:rsidRPr="006A5EB5" w:rsidRDefault="00825FFB" w:rsidP="004410EE">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rPr>
        <w:t xml:space="preserve">World Health Organization. </w:t>
      </w:r>
      <w:r w:rsidRPr="006A5EB5">
        <w:rPr>
          <w:rFonts w:ascii="Times New Roman" w:hAnsi="Times New Roman"/>
          <w:i/>
          <w:iCs/>
          <w:color w:val="000000" w:themeColor="text1"/>
          <w:sz w:val="22"/>
          <w:szCs w:val="22"/>
        </w:rPr>
        <w:t xml:space="preserve">Guidelines for the regulatory assessment of medicinal products for use in </w:t>
      </w:r>
      <w:r w:rsidR="00EA1948" w:rsidRPr="006A5EB5">
        <w:rPr>
          <w:rFonts w:ascii="Times New Roman" w:hAnsi="Times New Roman"/>
          <w:i/>
          <w:iCs/>
          <w:color w:val="000000" w:themeColor="text1"/>
          <w:sz w:val="22"/>
          <w:szCs w:val="22"/>
        </w:rPr>
        <w:t>self-medication</w:t>
      </w:r>
      <w:r w:rsidRPr="006A5EB5">
        <w:rPr>
          <w:rFonts w:ascii="Times New Roman" w:hAnsi="Times New Roman"/>
          <w:i/>
          <w:iCs/>
          <w:color w:val="000000" w:themeColor="text1"/>
          <w:sz w:val="22"/>
          <w:szCs w:val="22"/>
        </w:rPr>
        <w:t>.</w:t>
      </w:r>
      <w:r w:rsidRPr="006A5EB5">
        <w:rPr>
          <w:rFonts w:ascii="Times New Roman" w:hAnsi="Times New Roman"/>
          <w:color w:val="000000" w:themeColor="text1"/>
          <w:sz w:val="22"/>
          <w:szCs w:val="22"/>
        </w:rPr>
        <w:t xml:space="preserve"> Geneva: World Health Organization; 2000. Available from: https://iris.who.int/server/api/core/bitstreams/452f183c-812d-4f3a-a841-6910268cf785/conten.</w:t>
      </w:r>
    </w:p>
    <w:p w14:paraId="65B868D4" w14:textId="77777777" w:rsidR="00825FFB" w:rsidRPr="006A5EB5" w:rsidRDefault="00825FFB" w:rsidP="00602BEA">
      <w:pPr>
        <w:pStyle w:val="MDPI71References"/>
        <w:numPr>
          <w:ilvl w:val="0"/>
          <w:numId w:val="0"/>
        </w:numPr>
        <w:spacing w:line="240" w:lineRule="auto"/>
        <w:ind w:left="425" w:hanging="425"/>
        <w:rPr>
          <w:rFonts w:ascii="Times New Roman" w:hAnsi="Times New Roman"/>
          <w:color w:val="000000" w:themeColor="text1"/>
          <w:sz w:val="22"/>
          <w:szCs w:val="22"/>
        </w:rPr>
      </w:pPr>
      <w:r w:rsidRPr="006A5EB5">
        <w:rPr>
          <w:rFonts w:ascii="Times New Roman" w:hAnsi="Times New Roman"/>
          <w:color w:val="000000" w:themeColor="text1"/>
          <w:sz w:val="22"/>
          <w:szCs w:val="22"/>
        </w:rPr>
        <w:t>World Health Organization.</w:t>
      </w:r>
      <w:r w:rsidRPr="006A5EB5">
        <w:rPr>
          <w:rFonts w:ascii="Times New Roman" w:hAnsi="Times New Roman"/>
          <w:i/>
          <w:iCs/>
          <w:color w:val="000000" w:themeColor="text1"/>
          <w:sz w:val="22"/>
          <w:szCs w:val="22"/>
        </w:rPr>
        <w:t xml:space="preserve"> Promoting Rational Use of Medicines</w:t>
      </w:r>
      <w:r w:rsidRPr="006A5EB5">
        <w:rPr>
          <w:rFonts w:ascii="Times New Roman" w:hAnsi="Times New Roman"/>
          <w:color w:val="000000" w:themeColor="text1"/>
          <w:sz w:val="22"/>
          <w:szCs w:val="22"/>
        </w:rPr>
        <w:t>. https://www.who.int/activities/promoting-rational-use-of-medicines. Accessed 18 Dec. 2025.</w:t>
      </w:r>
    </w:p>
    <w:p w14:paraId="401CD01C" w14:textId="0D754ED3" w:rsidR="00E10B51" w:rsidRPr="006A5EB5" w:rsidRDefault="00825FFB" w:rsidP="00B93C48">
      <w:pPr>
        <w:pStyle w:val="MDPI71References"/>
        <w:numPr>
          <w:ilvl w:val="0"/>
          <w:numId w:val="0"/>
        </w:numPr>
        <w:spacing w:line="240" w:lineRule="auto"/>
        <w:ind w:left="425" w:hanging="425"/>
        <w:rPr>
          <w:rFonts w:ascii="Times New Roman" w:hAnsi="Times New Roman"/>
          <w:color w:val="auto"/>
          <w:sz w:val="22"/>
          <w:szCs w:val="22"/>
        </w:rPr>
      </w:pPr>
      <w:r w:rsidRPr="006A5EB5">
        <w:rPr>
          <w:rFonts w:ascii="Times New Roman" w:hAnsi="Times New Roman"/>
          <w:color w:val="auto"/>
          <w:sz w:val="22"/>
          <w:szCs w:val="22"/>
        </w:rPr>
        <w:t xml:space="preserve">Zheng, Yu, et al. “A Systematic Review of </w:t>
      </w:r>
      <w:r w:rsidR="00EA1948" w:rsidRPr="006A5EB5">
        <w:rPr>
          <w:rFonts w:ascii="Times New Roman" w:hAnsi="Times New Roman"/>
          <w:color w:val="auto"/>
          <w:sz w:val="22"/>
          <w:szCs w:val="22"/>
        </w:rPr>
        <w:t>Self-medication</w:t>
      </w:r>
      <w:r w:rsidRPr="006A5EB5">
        <w:rPr>
          <w:rFonts w:ascii="Times New Roman" w:hAnsi="Times New Roman"/>
          <w:color w:val="auto"/>
          <w:sz w:val="22"/>
          <w:szCs w:val="22"/>
        </w:rPr>
        <w:t xml:space="preserve"> Practice during the COVID-19 Pandemic: Implications for Pharmacy Practice in Supporting Public Health Measures.” </w:t>
      </w:r>
      <w:r w:rsidRPr="006A5EB5">
        <w:rPr>
          <w:rFonts w:ascii="Times New Roman" w:hAnsi="Times New Roman"/>
          <w:i/>
          <w:iCs/>
          <w:color w:val="auto"/>
          <w:sz w:val="22"/>
          <w:szCs w:val="22"/>
        </w:rPr>
        <w:t>Frontiers in Public Health</w:t>
      </w:r>
      <w:r w:rsidRPr="006A5EB5">
        <w:rPr>
          <w:rFonts w:ascii="Times New Roman" w:hAnsi="Times New Roman"/>
          <w:color w:val="auto"/>
          <w:sz w:val="22"/>
          <w:szCs w:val="22"/>
        </w:rPr>
        <w:t>, vol. 11, 2023, p. 1184882. </w:t>
      </w:r>
      <w:r w:rsidRPr="006A5EB5">
        <w:rPr>
          <w:rFonts w:ascii="Times New Roman" w:hAnsi="Times New Roman"/>
          <w:i/>
          <w:iCs/>
          <w:color w:val="auto"/>
          <w:sz w:val="22"/>
          <w:szCs w:val="22"/>
        </w:rPr>
        <w:t>PubMed</w:t>
      </w:r>
      <w:r w:rsidRPr="006A5EB5">
        <w:rPr>
          <w:rFonts w:ascii="Times New Roman" w:hAnsi="Times New Roman"/>
          <w:color w:val="auto"/>
          <w:sz w:val="22"/>
          <w:szCs w:val="22"/>
        </w:rPr>
        <w:t>, https://doi.org/10.3389/fpubh.2023.1184882.</w:t>
      </w:r>
    </w:p>
    <w:sectPr w:rsidR="00E10B51" w:rsidRPr="006A5EB5" w:rsidSect="00602BEA">
      <w:headerReference w:type="default" r:id="rId13"/>
      <w:footerReference w:type="default" r:id="rId14"/>
      <w:footerReference w:type="first" r:id="rId15"/>
      <w:pgSz w:w="11909" w:h="16834" w:code="9"/>
      <w:pgMar w:top="864" w:right="864" w:bottom="864" w:left="864" w:header="720" w:footer="720" w:gutter="0"/>
      <w:lnNumType w:countBy="1" w:restart="continuous"/>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26B1B" w14:textId="77777777" w:rsidR="003450BA" w:rsidRDefault="003450BA" w:rsidP="00727D84">
      <w:pPr>
        <w:spacing w:after="0" w:line="240" w:lineRule="auto"/>
      </w:pPr>
      <w:r>
        <w:separator/>
      </w:r>
    </w:p>
  </w:endnote>
  <w:endnote w:type="continuationSeparator" w:id="0">
    <w:p w14:paraId="19289E89" w14:textId="77777777" w:rsidR="003450BA" w:rsidRDefault="003450BA" w:rsidP="0072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reveNews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554484"/>
      <w:docPartObj>
        <w:docPartGallery w:val="Page Numbers (Bottom of Page)"/>
        <w:docPartUnique/>
      </w:docPartObj>
    </w:sdtPr>
    <w:sdtContent>
      <w:sdt>
        <w:sdtPr>
          <w:id w:val="-1769616900"/>
          <w:docPartObj>
            <w:docPartGallery w:val="Page Numbers (Top of Page)"/>
            <w:docPartUnique/>
          </w:docPartObj>
        </w:sdtPr>
        <w:sdtContent>
          <w:p w14:paraId="7680965E" w14:textId="18F583B5" w:rsidR="000551CF" w:rsidRDefault="000551C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77F9C">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7F9C">
              <w:rPr>
                <w:b/>
                <w:bCs/>
                <w:noProof/>
              </w:rPr>
              <w:t>11</w:t>
            </w:r>
            <w:r>
              <w:rPr>
                <w:b/>
                <w:bCs/>
                <w:sz w:val="24"/>
                <w:szCs w:val="24"/>
              </w:rPr>
              <w:fldChar w:fldCharType="end"/>
            </w:r>
          </w:p>
        </w:sdtContent>
      </w:sdt>
    </w:sdtContent>
  </w:sdt>
  <w:p w14:paraId="3A750D10" w14:textId="1F074F79" w:rsidR="002F4C9B" w:rsidRDefault="002F4C9B" w:rsidP="00F2093F">
    <w:pPr>
      <w:pStyle w:val="Footer"/>
      <w:tabs>
        <w:tab w:val="clear" w:pos="4680"/>
        <w:tab w:val="clear" w:pos="9360"/>
        <w:tab w:val="right" w:pos="1017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DBA6" w14:textId="77777777" w:rsidR="002F4C9B" w:rsidRDefault="00000000" w:rsidP="00116A69">
    <w:pPr>
      <w:pStyle w:val="Footer"/>
      <w:tabs>
        <w:tab w:val="clear" w:pos="4680"/>
        <w:tab w:val="clear" w:pos="9360"/>
        <w:tab w:val="right" w:pos="10170"/>
      </w:tabs>
      <w:rPr>
        <w:rFonts w:ascii="Times New Roman" w:hAnsi="Times New Roman" w:cs="Times New Roman"/>
        <w:color w:val="000000" w:themeColor="text1"/>
      </w:rPr>
    </w:pPr>
    <w:r>
      <w:rPr>
        <w:rFonts w:ascii="Times New Roman" w:hAnsi="Times New Roman" w:cs="Times New Roman"/>
        <w:noProof/>
        <w:color w:val="000000" w:themeColor="text1"/>
      </w:rPr>
      <w:pict w14:anchorId="5181B249">
        <v:shapetype id="_x0000_t32" coordsize="21600,21600" o:spt="32" o:oned="t" path="m,l21600,21600e" filled="f">
          <v:path arrowok="t" fillok="f" o:connecttype="none"/>
          <o:lock v:ext="edit" shapetype="t"/>
        </v:shapetype>
        <v:shape id="_x0000_s1026" type="#_x0000_t32" style="position:absolute;margin-left:1.3pt;margin-top:7.65pt;width:506.75pt;height:0;z-index:251658240" o:connectortype="straight" strokeweight="1.5pt"/>
      </w:pict>
    </w:r>
  </w:p>
  <w:p w14:paraId="50D84180" w14:textId="603E7B90" w:rsidR="002F4C9B" w:rsidRDefault="002F4C9B" w:rsidP="00116A69">
    <w:pPr>
      <w:pStyle w:val="Footer"/>
      <w:tabs>
        <w:tab w:val="clear" w:pos="4680"/>
        <w:tab w:val="clear" w:pos="9360"/>
        <w:tab w:val="right" w:pos="10170"/>
      </w:tabs>
    </w:pPr>
    <w:proofErr w:type="spellStart"/>
    <w:r w:rsidRPr="005E45B6">
      <w:rPr>
        <w:rFonts w:ascii="Times New Roman" w:hAnsi="Times New Roman" w:cs="Times New Roman"/>
        <w:color w:val="000000" w:themeColor="text1"/>
      </w:rPr>
      <w:t>Healthmed</w:t>
    </w:r>
    <w:proofErr w:type="spellEnd"/>
    <w:r w:rsidRPr="005E45B6">
      <w:rPr>
        <w:rFonts w:ascii="Times New Roman" w:hAnsi="Times New Roman" w:cs="Times New Roman"/>
        <w:color w:val="000000" w:themeColor="text1"/>
      </w:rPr>
      <w:t xml:space="preserve"> Journal of Pharmaceutical Sciences 202</w:t>
    </w:r>
    <w:r w:rsidR="0025028D">
      <w:rPr>
        <w:rFonts w:ascii="Times New Roman" w:hAnsi="Times New Roman" w:cs="Times New Roman"/>
        <w:color w:val="000000" w:themeColor="text1"/>
      </w:rPr>
      <w:t>4</w:t>
    </w:r>
    <w:r w:rsidRPr="005E45B6">
      <w:rPr>
        <w:rFonts w:ascii="Times New Roman" w:hAnsi="Times New Roman" w:cs="Times New Roman"/>
        <w:color w:val="000000" w:themeColor="text1"/>
      </w:rPr>
      <w:t xml:space="preserve">; </w:t>
    </w:r>
    <w:r w:rsidR="0025028D">
      <w:rPr>
        <w:rFonts w:ascii="Times New Roman" w:hAnsi="Times New Roman" w:cs="Times New Roman"/>
        <w:color w:val="000000" w:themeColor="text1"/>
      </w:rPr>
      <w:t>2</w:t>
    </w:r>
    <w:r w:rsidRPr="005E45B6">
      <w:rPr>
        <w:rFonts w:ascii="Times New Roman" w:hAnsi="Times New Roman" w:cs="Times New Roman"/>
        <w:color w:val="000000" w:themeColor="text1"/>
      </w:rPr>
      <w:t>(</w:t>
    </w:r>
    <w:r w:rsidR="003B3968">
      <w:rPr>
        <w:rFonts w:ascii="Times New Roman" w:hAnsi="Times New Roman" w:cs="Times New Roman"/>
        <w:color w:val="000000" w:themeColor="text1"/>
      </w:rPr>
      <w:t>1</w:t>
    </w:r>
    <w:r w:rsidRPr="005E45B6">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3B3968">
      <w:rPr>
        <w:rFonts w:ascii="Times New Roman" w:hAnsi="Times New Roman" w:cs="Times New Roman"/>
        <w:color w:val="000000" w:themeColor="text1"/>
      </w:rPr>
      <w:t>12-23</w:t>
    </w:r>
    <w:r>
      <w:rPr>
        <w:rFonts w:ascii="Times New Roman" w:hAnsi="Times New Roman" w:cs="Times New Roman"/>
        <w:color w:val="000000" w:themeColor="text1"/>
      </w:rPr>
      <w:t xml:space="preserve"> </w:t>
    </w:r>
    <w:sdt>
      <w:sdtPr>
        <w:id w:val="9669569"/>
        <w:docPartObj>
          <w:docPartGallery w:val="Page Numbers (Bottom of Page)"/>
          <w:docPartUnique/>
        </w:docPartObj>
      </w:sdtPr>
      <w:sdtEndPr>
        <w:rPr>
          <w:rFonts w:ascii="Times New Roman" w:hAnsi="Times New Roman" w:cs="Times New Roman"/>
          <w:sz w:val="24"/>
        </w:rPr>
      </w:sdtEndPr>
      <w:sdtContent>
        <w:r>
          <w:tab/>
        </w:r>
        <w:r w:rsidR="0025028D">
          <w:rPr>
            <w:rFonts w:ascii="Times New Roman" w:hAnsi="Times New Roman" w:cs="Times New Roman"/>
            <w:b/>
            <w:sz w:val="24"/>
          </w:rPr>
          <w:t>1</w:t>
        </w:r>
      </w:sdtContent>
    </w:sdt>
    <w:r w:rsidR="0025028D">
      <w:rPr>
        <w:rFonts w:ascii="Times New Roman" w:hAnsi="Times New Roman" w:cs="Times New Roman"/>
        <w:sz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0849C" w14:textId="77777777" w:rsidR="003450BA" w:rsidRDefault="003450BA" w:rsidP="00727D84">
      <w:pPr>
        <w:spacing w:after="0" w:line="240" w:lineRule="auto"/>
      </w:pPr>
      <w:r>
        <w:separator/>
      </w:r>
    </w:p>
  </w:footnote>
  <w:footnote w:type="continuationSeparator" w:id="0">
    <w:p w14:paraId="38FC9E58" w14:textId="77777777" w:rsidR="003450BA" w:rsidRDefault="003450BA" w:rsidP="00727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D652" w14:textId="7EDE182E" w:rsidR="002F4C9B" w:rsidRPr="00E92316" w:rsidRDefault="00385B18" w:rsidP="00E92316">
    <w:pPr>
      <w:pStyle w:val="Header"/>
      <w:tabs>
        <w:tab w:val="left" w:pos="7660"/>
        <w:tab w:val="right" w:pos="9641"/>
      </w:tabs>
      <w:jc w:val="both"/>
      <w:rPr>
        <w:rFonts w:ascii="Times New Roman" w:hAnsi="Times New Roman" w:cs="Times New Roman"/>
      </w:rPr>
    </w:pPr>
    <w:r>
      <w:rPr>
        <w:rFonts w:ascii="Times New Roman" w:hAnsi="Times New Roman" w:cs="Times New Roman"/>
        <w:b/>
        <w:sz w:val="24"/>
        <w:szCs w:val="24"/>
      </w:rPr>
      <w:t>Baudrul</w:t>
    </w:r>
    <w:r w:rsidR="005D60F8">
      <w:rPr>
        <w:rFonts w:ascii="Times New Roman" w:hAnsi="Times New Roman" w:cs="Times New Roman"/>
        <w:b/>
        <w:sz w:val="24"/>
        <w:szCs w:val="24"/>
      </w:rPr>
      <w:t xml:space="preserve"> </w:t>
    </w:r>
    <w:r w:rsidR="005D60F8" w:rsidRPr="009F42E5">
      <w:rPr>
        <w:rFonts w:ascii="Times New Roman" w:hAnsi="Times New Roman" w:cs="Times New Roman"/>
        <w:b/>
        <w:i/>
        <w:sz w:val="24"/>
        <w:szCs w:val="24"/>
      </w:rPr>
      <w:t xml:space="preserve">et </w:t>
    </w:r>
    <w:r w:rsidR="002F4C9B" w:rsidRPr="009F42E5">
      <w:rPr>
        <w:rFonts w:ascii="Times New Roman" w:hAnsi="Times New Roman" w:cs="Times New Roman"/>
        <w:b/>
        <w:i/>
        <w:sz w:val="24"/>
        <w:szCs w:val="24"/>
      </w:rPr>
      <w:t>al.</w:t>
    </w:r>
    <w:r w:rsidR="00E92316">
      <w:rPr>
        <w:rFonts w:ascii="Times New Roman" w:hAnsi="Times New Roman" w:cs="Times New Roman"/>
        <w:b/>
        <w:i/>
        <w:sz w:val="24"/>
        <w:szCs w:val="24"/>
      </w:rPr>
      <w:t xml:space="preserve">  </w:t>
    </w:r>
    <w:r w:rsidR="00E92316">
      <w:t xml:space="preserve">  </w:t>
    </w:r>
    <w:r w:rsidR="00E92316">
      <w:rPr>
        <w:rFonts w:ascii="Times New Roman" w:hAnsi="Times New Roman" w:cs="Times New Roman"/>
      </w:rPr>
      <w:tab/>
      <w:t xml:space="preserve">                                                                                                               (e-ISSN: 3078-6975)</w:t>
    </w:r>
  </w:p>
  <w:p w14:paraId="48FFE424" w14:textId="77777777" w:rsidR="00B770BC" w:rsidRPr="00B770BC" w:rsidRDefault="00B770BC" w:rsidP="00B770BC">
    <w:pPr>
      <w:spacing w:after="0" w:line="240" w:lineRule="auto"/>
      <w:rPr>
        <w:rFonts w:ascii="Times New Roman" w:hAnsi="Times New Roman" w:cs="Times New Roman"/>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09E4E9F6"/>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91459B"/>
    <w:multiLevelType w:val="hybridMultilevel"/>
    <w:tmpl w:val="FFFFFFFF"/>
    <w:lvl w:ilvl="0" w:tplc="02B2D9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325E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6811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52E4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48B8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58B6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FE53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4674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FAA9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22202184">
    <w:abstractNumId w:val="1"/>
  </w:num>
  <w:num w:numId="2" w16cid:durableId="211609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80"/>
    <o:shapelayout v:ext="edit">
      <o:idmap v:ext="edit" data="1"/>
      <o:rules v:ext="edit">
        <o:r id="V:Rule1" type="connector" idref="#_x0000_s102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8EB"/>
    <w:rsid w:val="00001CA6"/>
    <w:rsid w:val="000038BC"/>
    <w:rsid w:val="00004566"/>
    <w:rsid w:val="00010760"/>
    <w:rsid w:val="000135B9"/>
    <w:rsid w:val="0001521C"/>
    <w:rsid w:val="00020C31"/>
    <w:rsid w:val="000243CD"/>
    <w:rsid w:val="0003190B"/>
    <w:rsid w:val="00032D52"/>
    <w:rsid w:val="00036DDE"/>
    <w:rsid w:val="00043426"/>
    <w:rsid w:val="00044A6A"/>
    <w:rsid w:val="000463A6"/>
    <w:rsid w:val="00050547"/>
    <w:rsid w:val="00050B9B"/>
    <w:rsid w:val="000513A2"/>
    <w:rsid w:val="00051888"/>
    <w:rsid w:val="0005306F"/>
    <w:rsid w:val="000551CF"/>
    <w:rsid w:val="00057498"/>
    <w:rsid w:val="00057D56"/>
    <w:rsid w:val="000643EE"/>
    <w:rsid w:val="00067194"/>
    <w:rsid w:val="000675A5"/>
    <w:rsid w:val="000702CA"/>
    <w:rsid w:val="00071884"/>
    <w:rsid w:val="000814AD"/>
    <w:rsid w:val="00087427"/>
    <w:rsid w:val="00087767"/>
    <w:rsid w:val="00087AD8"/>
    <w:rsid w:val="00087F41"/>
    <w:rsid w:val="00090999"/>
    <w:rsid w:val="000923AF"/>
    <w:rsid w:val="00092556"/>
    <w:rsid w:val="000951EF"/>
    <w:rsid w:val="00096487"/>
    <w:rsid w:val="00097092"/>
    <w:rsid w:val="000A1D09"/>
    <w:rsid w:val="000A2B02"/>
    <w:rsid w:val="000A4805"/>
    <w:rsid w:val="000A54A5"/>
    <w:rsid w:val="000C01FD"/>
    <w:rsid w:val="000C1826"/>
    <w:rsid w:val="000C2966"/>
    <w:rsid w:val="000C3AC9"/>
    <w:rsid w:val="000C5888"/>
    <w:rsid w:val="000C61F7"/>
    <w:rsid w:val="000D1005"/>
    <w:rsid w:val="000D1596"/>
    <w:rsid w:val="000D2CA0"/>
    <w:rsid w:val="000D33D2"/>
    <w:rsid w:val="000D7949"/>
    <w:rsid w:val="000E2567"/>
    <w:rsid w:val="000E57CB"/>
    <w:rsid w:val="000F2398"/>
    <w:rsid w:val="000F78E2"/>
    <w:rsid w:val="00101F7A"/>
    <w:rsid w:val="00102BBC"/>
    <w:rsid w:val="00103CF2"/>
    <w:rsid w:val="00105BCF"/>
    <w:rsid w:val="00116A69"/>
    <w:rsid w:val="00120DFB"/>
    <w:rsid w:val="001217AC"/>
    <w:rsid w:val="00122207"/>
    <w:rsid w:val="0012357F"/>
    <w:rsid w:val="00131412"/>
    <w:rsid w:val="001368D8"/>
    <w:rsid w:val="00137748"/>
    <w:rsid w:val="0014232A"/>
    <w:rsid w:val="001429AA"/>
    <w:rsid w:val="00144577"/>
    <w:rsid w:val="00152012"/>
    <w:rsid w:val="00154033"/>
    <w:rsid w:val="00160CD1"/>
    <w:rsid w:val="00166139"/>
    <w:rsid w:val="00171156"/>
    <w:rsid w:val="00171B82"/>
    <w:rsid w:val="00175B42"/>
    <w:rsid w:val="00175CEA"/>
    <w:rsid w:val="00180615"/>
    <w:rsid w:val="00182E7F"/>
    <w:rsid w:val="0018503F"/>
    <w:rsid w:val="0019190C"/>
    <w:rsid w:val="00191B9C"/>
    <w:rsid w:val="00191E22"/>
    <w:rsid w:val="00192A26"/>
    <w:rsid w:val="00192C02"/>
    <w:rsid w:val="0019553C"/>
    <w:rsid w:val="00196179"/>
    <w:rsid w:val="001A130E"/>
    <w:rsid w:val="001A264E"/>
    <w:rsid w:val="001B1B8F"/>
    <w:rsid w:val="001B4D4E"/>
    <w:rsid w:val="001B53C6"/>
    <w:rsid w:val="001B6F30"/>
    <w:rsid w:val="001C08C3"/>
    <w:rsid w:val="001C6E93"/>
    <w:rsid w:val="001C77D9"/>
    <w:rsid w:val="001C792C"/>
    <w:rsid w:val="001D116C"/>
    <w:rsid w:val="001D3F96"/>
    <w:rsid w:val="001D600E"/>
    <w:rsid w:val="001D6F5F"/>
    <w:rsid w:val="001E29D0"/>
    <w:rsid w:val="001E2C21"/>
    <w:rsid w:val="001E5C53"/>
    <w:rsid w:val="001F2123"/>
    <w:rsid w:val="001F6E27"/>
    <w:rsid w:val="0021240E"/>
    <w:rsid w:val="00213329"/>
    <w:rsid w:val="00213565"/>
    <w:rsid w:val="002154C5"/>
    <w:rsid w:val="002166CE"/>
    <w:rsid w:val="0022397D"/>
    <w:rsid w:val="00223E03"/>
    <w:rsid w:val="0022440F"/>
    <w:rsid w:val="002366ED"/>
    <w:rsid w:val="0024275E"/>
    <w:rsid w:val="00242942"/>
    <w:rsid w:val="0024453E"/>
    <w:rsid w:val="0025028D"/>
    <w:rsid w:val="00250ABB"/>
    <w:rsid w:val="0025223D"/>
    <w:rsid w:val="00253B94"/>
    <w:rsid w:val="00253F01"/>
    <w:rsid w:val="00255484"/>
    <w:rsid w:val="00257231"/>
    <w:rsid w:val="002604FC"/>
    <w:rsid w:val="00263B05"/>
    <w:rsid w:val="00273F46"/>
    <w:rsid w:val="00275C8E"/>
    <w:rsid w:val="0027608B"/>
    <w:rsid w:val="0027650F"/>
    <w:rsid w:val="00282447"/>
    <w:rsid w:val="00285DDD"/>
    <w:rsid w:val="00286B5E"/>
    <w:rsid w:val="002926A5"/>
    <w:rsid w:val="00295F93"/>
    <w:rsid w:val="002A3935"/>
    <w:rsid w:val="002B1E61"/>
    <w:rsid w:val="002B23DF"/>
    <w:rsid w:val="002B2586"/>
    <w:rsid w:val="002B3560"/>
    <w:rsid w:val="002B4A3F"/>
    <w:rsid w:val="002B4E0B"/>
    <w:rsid w:val="002B6E09"/>
    <w:rsid w:val="002C005E"/>
    <w:rsid w:val="002C2358"/>
    <w:rsid w:val="002C4363"/>
    <w:rsid w:val="002C4475"/>
    <w:rsid w:val="002C50BA"/>
    <w:rsid w:val="002C53DD"/>
    <w:rsid w:val="002C6969"/>
    <w:rsid w:val="002C7095"/>
    <w:rsid w:val="002D0550"/>
    <w:rsid w:val="002D386E"/>
    <w:rsid w:val="002D4DB3"/>
    <w:rsid w:val="002D53EB"/>
    <w:rsid w:val="002E02A8"/>
    <w:rsid w:val="002E1B12"/>
    <w:rsid w:val="002E48CB"/>
    <w:rsid w:val="002E49D5"/>
    <w:rsid w:val="002F0E95"/>
    <w:rsid w:val="002F15C0"/>
    <w:rsid w:val="002F3F05"/>
    <w:rsid w:val="002F43DE"/>
    <w:rsid w:val="002F4C9B"/>
    <w:rsid w:val="002F5BCA"/>
    <w:rsid w:val="003003BE"/>
    <w:rsid w:val="00300D85"/>
    <w:rsid w:val="00304345"/>
    <w:rsid w:val="0030513A"/>
    <w:rsid w:val="00306CEF"/>
    <w:rsid w:val="00307346"/>
    <w:rsid w:val="0030766D"/>
    <w:rsid w:val="0031194D"/>
    <w:rsid w:val="00314A0F"/>
    <w:rsid w:val="00315048"/>
    <w:rsid w:val="00317058"/>
    <w:rsid w:val="00320182"/>
    <w:rsid w:val="00320D8E"/>
    <w:rsid w:val="0032306C"/>
    <w:rsid w:val="003242E3"/>
    <w:rsid w:val="003278FA"/>
    <w:rsid w:val="00327EE9"/>
    <w:rsid w:val="00330CAE"/>
    <w:rsid w:val="0033104B"/>
    <w:rsid w:val="00331932"/>
    <w:rsid w:val="0033273E"/>
    <w:rsid w:val="00332C40"/>
    <w:rsid w:val="0033346C"/>
    <w:rsid w:val="00333511"/>
    <w:rsid w:val="00337339"/>
    <w:rsid w:val="003450BA"/>
    <w:rsid w:val="003452CE"/>
    <w:rsid w:val="00347EFB"/>
    <w:rsid w:val="003506DF"/>
    <w:rsid w:val="0035228C"/>
    <w:rsid w:val="00352C70"/>
    <w:rsid w:val="00355756"/>
    <w:rsid w:val="003565A9"/>
    <w:rsid w:val="0036002C"/>
    <w:rsid w:val="00362FB2"/>
    <w:rsid w:val="00363E33"/>
    <w:rsid w:val="00364114"/>
    <w:rsid w:val="00365636"/>
    <w:rsid w:val="0036601E"/>
    <w:rsid w:val="003708C5"/>
    <w:rsid w:val="00370C68"/>
    <w:rsid w:val="00374D2F"/>
    <w:rsid w:val="003752A5"/>
    <w:rsid w:val="00383566"/>
    <w:rsid w:val="00385B18"/>
    <w:rsid w:val="0039229C"/>
    <w:rsid w:val="00394CDD"/>
    <w:rsid w:val="00395F30"/>
    <w:rsid w:val="003A05FC"/>
    <w:rsid w:val="003A0829"/>
    <w:rsid w:val="003A3B78"/>
    <w:rsid w:val="003B07E3"/>
    <w:rsid w:val="003B20D4"/>
    <w:rsid w:val="003B3968"/>
    <w:rsid w:val="003B6B1F"/>
    <w:rsid w:val="003B7254"/>
    <w:rsid w:val="003B741A"/>
    <w:rsid w:val="003C0280"/>
    <w:rsid w:val="003C0E7E"/>
    <w:rsid w:val="003C0E93"/>
    <w:rsid w:val="003C35F5"/>
    <w:rsid w:val="003C404E"/>
    <w:rsid w:val="003C489A"/>
    <w:rsid w:val="003C7126"/>
    <w:rsid w:val="003D2F0F"/>
    <w:rsid w:val="003D4CAC"/>
    <w:rsid w:val="003D761C"/>
    <w:rsid w:val="003D7E0D"/>
    <w:rsid w:val="003E1E75"/>
    <w:rsid w:val="003E4425"/>
    <w:rsid w:val="003F16FF"/>
    <w:rsid w:val="003F3852"/>
    <w:rsid w:val="00405771"/>
    <w:rsid w:val="004061A3"/>
    <w:rsid w:val="004071D0"/>
    <w:rsid w:val="00420AC9"/>
    <w:rsid w:val="00422F75"/>
    <w:rsid w:val="0042355C"/>
    <w:rsid w:val="00426080"/>
    <w:rsid w:val="00426E78"/>
    <w:rsid w:val="00427CEC"/>
    <w:rsid w:val="004316F9"/>
    <w:rsid w:val="00432A07"/>
    <w:rsid w:val="00433449"/>
    <w:rsid w:val="00433F45"/>
    <w:rsid w:val="0043535E"/>
    <w:rsid w:val="004353DB"/>
    <w:rsid w:val="004409BF"/>
    <w:rsid w:val="004410EE"/>
    <w:rsid w:val="00445919"/>
    <w:rsid w:val="00446AF5"/>
    <w:rsid w:val="0044747E"/>
    <w:rsid w:val="00447A34"/>
    <w:rsid w:val="00452C3F"/>
    <w:rsid w:val="00453D4E"/>
    <w:rsid w:val="00460F87"/>
    <w:rsid w:val="00462EEA"/>
    <w:rsid w:val="004630A6"/>
    <w:rsid w:val="00463306"/>
    <w:rsid w:val="00466DE0"/>
    <w:rsid w:val="00466F7B"/>
    <w:rsid w:val="00470ED0"/>
    <w:rsid w:val="00472077"/>
    <w:rsid w:val="00472EFE"/>
    <w:rsid w:val="004745D7"/>
    <w:rsid w:val="00477158"/>
    <w:rsid w:val="00477DB8"/>
    <w:rsid w:val="00481891"/>
    <w:rsid w:val="004857B5"/>
    <w:rsid w:val="0048615D"/>
    <w:rsid w:val="004863BF"/>
    <w:rsid w:val="00490BD9"/>
    <w:rsid w:val="00493728"/>
    <w:rsid w:val="00495312"/>
    <w:rsid w:val="00497006"/>
    <w:rsid w:val="004A0569"/>
    <w:rsid w:val="004A7AF7"/>
    <w:rsid w:val="004B2955"/>
    <w:rsid w:val="004B6FC6"/>
    <w:rsid w:val="004C0358"/>
    <w:rsid w:val="004C1F15"/>
    <w:rsid w:val="004C2C60"/>
    <w:rsid w:val="004D2632"/>
    <w:rsid w:val="004D4C9B"/>
    <w:rsid w:val="004E2C02"/>
    <w:rsid w:val="004E3424"/>
    <w:rsid w:val="004E5D37"/>
    <w:rsid w:val="004E676C"/>
    <w:rsid w:val="004E692A"/>
    <w:rsid w:val="004F0A0F"/>
    <w:rsid w:val="004F13F2"/>
    <w:rsid w:val="004F3F60"/>
    <w:rsid w:val="004F51AE"/>
    <w:rsid w:val="004F61D5"/>
    <w:rsid w:val="00500B94"/>
    <w:rsid w:val="00504773"/>
    <w:rsid w:val="00507F82"/>
    <w:rsid w:val="005138CF"/>
    <w:rsid w:val="00516B6F"/>
    <w:rsid w:val="005204AA"/>
    <w:rsid w:val="005222B8"/>
    <w:rsid w:val="00530CD2"/>
    <w:rsid w:val="0054008E"/>
    <w:rsid w:val="005404C9"/>
    <w:rsid w:val="00543115"/>
    <w:rsid w:val="00544045"/>
    <w:rsid w:val="005479BC"/>
    <w:rsid w:val="005510E7"/>
    <w:rsid w:val="00552838"/>
    <w:rsid w:val="00553D7B"/>
    <w:rsid w:val="0055776E"/>
    <w:rsid w:val="0056120E"/>
    <w:rsid w:val="00562558"/>
    <w:rsid w:val="00565C4C"/>
    <w:rsid w:val="005665D1"/>
    <w:rsid w:val="005704AD"/>
    <w:rsid w:val="00571D03"/>
    <w:rsid w:val="00574A6E"/>
    <w:rsid w:val="0057688C"/>
    <w:rsid w:val="00582175"/>
    <w:rsid w:val="00582186"/>
    <w:rsid w:val="00582D1D"/>
    <w:rsid w:val="00585BC2"/>
    <w:rsid w:val="005862E0"/>
    <w:rsid w:val="0058725C"/>
    <w:rsid w:val="005974C7"/>
    <w:rsid w:val="005A023E"/>
    <w:rsid w:val="005A46D3"/>
    <w:rsid w:val="005A67AD"/>
    <w:rsid w:val="005A6D4B"/>
    <w:rsid w:val="005A74C4"/>
    <w:rsid w:val="005A77E5"/>
    <w:rsid w:val="005B095B"/>
    <w:rsid w:val="005B0F8B"/>
    <w:rsid w:val="005B1A61"/>
    <w:rsid w:val="005B335C"/>
    <w:rsid w:val="005B3913"/>
    <w:rsid w:val="005B524A"/>
    <w:rsid w:val="005C5EFC"/>
    <w:rsid w:val="005C7328"/>
    <w:rsid w:val="005D339B"/>
    <w:rsid w:val="005D414E"/>
    <w:rsid w:val="005D4250"/>
    <w:rsid w:val="005D53CC"/>
    <w:rsid w:val="005D60F8"/>
    <w:rsid w:val="005E21A5"/>
    <w:rsid w:val="005E269F"/>
    <w:rsid w:val="005E4D50"/>
    <w:rsid w:val="005E6B23"/>
    <w:rsid w:val="005E74F7"/>
    <w:rsid w:val="005F1714"/>
    <w:rsid w:val="005F1874"/>
    <w:rsid w:val="005F743A"/>
    <w:rsid w:val="006010B9"/>
    <w:rsid w:val="0060136E"/>
    <w:rsid w:val="00602BEA"/>
    <w:rsid w:val="006057B0"/>
    <w:rsid w:val="00606218"/>
    <w:rsid w:val="006066C7"/>
    <w:rsid w:val="00606931"/>
    <w:rsid w:val="00611F64"/>
    <w:rsid w:val="0061236A"/>
    <w:rsid w:val="00614B46"/>
    <w:rsid w:val="00615779"/>
    <w:rsid w:val="00620605"/>
    <w:rsid w:val="006222E6"/>
    <w:rsid w:val="00622B90"/>
    <w:rsid w:val="00623894"/>
    <w:rsid w:val="00625906"/>
    <w:rsid w:val="006263B3"/>
    <w:rsid w:val="00627371"/>
    <w:rsid w:val="006330B1"/>
    <w:rsid w:val="00641FEA"/>
    <w:rsid w:val="0064711E"/>
    <w:rsid w:val="0065064E"/>
    <w:rsid w:val="00650900"/>
    <w:rsid w:val="00652436"/>
    <w:rsid w:val="006527F9"/>
    <w:rsid w:val="00655E57"/>
    <w:rsid w:val="006604FF"/>
    <w:rsid w:val="006625E4"/>
    <w:rsid w:val="00662903"/>
    <w:rsid w:val="006643BD"/>
    <w:rsid w:val="00671358"/>
    <w:rsid w:val="00681694"/>
    <w:rsid w:val="006816B0"/>
    <w:rsid w:val="00683A4D"/>
    <w:rsid w:val="006847A6"/>
    <w:rsid w:val="00687F38"/>
    <w:rsid w:val="006902B3"/>
    <w:rsid w:val="00690A2C"/>
    <w:rsid w:val="00691D9D"/>
    <w:rsid w:val="00693067"/>
    <w:rsid w:val="00693348"/>
    <w:rsid w:val="00695821"/>
    <w:rsid w:val="006A1022"/>
    <w:rsid w:val="006A299B"/>
    <w:rsid w:val="006A5EB5"/>
    <w:rsid w:val="006A790C"/>
    <w:rsid w:val="006A7C52"/>
    <w:rsid w:val="006B348E"/>
    <w:rsid w:val="006B3B3C"/>
    <w:rsid w:val="006B7966"/>
    <w:rsid w:val="006C1158"/>
    <w:rsid w:val="006C1903"/>
    <w:rsid w:val="006C2B62"/>
    <w:rsid w:val="006C5969"/>
    <w:rsid w:val="006D3079"/>
    <w:rsid w:val="006D3284"/>
    <w:rsid w:val="006D7DA0"/>
    <w:rsid w:val="006E6909"/>
    <w:rsid w:val="006E6A91"/>
    <w:rsid w:val="006E6F15"/>
    <w:rsid w:val="006E7617"/>
    <w:rsid w:val="006F2AC6"/>
    <w:rsid w:val="006F475E"/>
    <w:rsid w:val="006F622E"/>
    <w:rsid w:val="0070052C"/>
    <w:rsid w:val="007023E2"/>
    <w:rsid w:val="00704103"/>
    <w:rsid w:val="0070478A"/>
    <w:rsid w:val="0071388E"/>
    <w:rsid w:val="007145DD"/>
    <w:rsid w:val="00721D32"/>
    <w:rsid w:val="007247F3"/>
    <w:rsid w:val="007255E6"/>
    <w:rsid w:val="0072649D"/>
    <w:rsid w:val="00727AF0"/>
    <w:rsid w:val="00727D84"/>
    <w:rsid w:val="00734D9A"/>
    <w:rsid w:val="00741A94"/>
    <w:rsid w:val="00745EFC"/>
    <w:rsid w:val="007469FB"/>
    <w:rsid w:val="00750E2D"/>
    <w:rsid w:val="00753798"/>
    <w:rsid w:val="00753C75"/>
    <w:rsid w:val="00757B32"/>
    <w:rsid w:val="00757C3E"/>
    <w:rsid w:val="00763160"/>
    <w:rsid w:val="007706F9"/>
    <w:rsid w:val="00771304"/>
    <w:rsid w:val="00774E32"/>
    <w:rsid w:val="0077616C"/>
    <w:rsid w:val="00776696"/>
    <w:rsid w:val="00786F08"/>
    <w:rsid w:val="007907DA"/>
    <w:rsid w:val="00791A07"/>
    <w:rsid w:val="007923C5"/>
    <w:rsid w:val="00797D24"/>
    <w:rsid w:val="007A541F"/>
    <w:rsid w:val="007A61A6"/>
    <w:rsid w:val="007A7E06"/>
    <w:rsid w:val="007B1ED3"/>
    <w:rsid w:val="007B5F48"/>
    <w:rsid w:val="007B70FB"/>
    <w:rsid w:val="007C3A96"/>
    <w:rsid w:val="007C5412"/>
    <w:rsid w:val="007C54C8"/>
    <w:rsid w:val="007D2E56"/>
    <w:rsid w:val="007E027A"/>
    <w:rsid w:val="007E0A29"/>
    <w:rsid w:val="007E6976"/>
    <w:rsid w:val="007E6D09"/>
    <w:rsid w:val="007F7472"/>
    <w:rsid w:val="00801CE1"/>
    <w:rsid w:val="008024A5"/>
    <w:rsid w:val="00804CF4"/>
    <w:rsid w:val="00805D1D"/>
    <w:rsid w:val="00820E56"/>
    <w:rsid w:val="0082283B"/>
    <w:rsid w:val="00825FFB"/>
    <w:rsid w:val="00831105"/>
    <w:rsid w:val="00835C3B"/>
    <w:rsid w:val="00835F94"/>
    <w:rsid w:val="00836F89"/>
    <w:rsid w:val="00840456"/>
    <w:rsid w:val="008418EB"/>
    <w:rsid w:val="00842C45"/>
    <w:rsid w:val="00844D93"/>
    <w:rsid w:val="008455B4"/>
    <w:rsid w:val="00847B99"/>
    <w:rsid w:val="00852B64"/>
    <w:rsid w:val="008633E3"/>
    <w:rsid w:val="00864090"/>
    <w:rsid w:val="00865FF0"/>
    <w:rsid w:val="00866028"/>
    <w:rsid w:val="00866328"/>
    <w:rsid w:val="008717CE"/>
    <w:rsid w:val="00871D3F"/>
    <w:rsid w:val="00872012"/>
    <w:rsid w:val="00873EE0"/>
    <w:rsid w:val="008842F7"/>
    <w:rsid w:val="00887B2D"/>
    <w:rsid w:val="008956CB"/>
    <w:rsid w:val="008A3377"/>
    <w:rsid w:val="008A3975"/>
    <w:rsid w:val="008A74EF"/>
    <w:rsid w:val="008A7FAB"/>
    <w:rsid w:val="008B4D14"/>
    <w:rsid w:val="008B5871"/>
    <w:rsid w:val="008C0FDB"/>
    <w:rsid w:val="008C115A"/>
    <w:rsid w:val="008C2263"/>
    <w:rsid w:val="008C6A1E"/>
    <w:rsid w:val="008C7206"/>
    <w:rsid w:val="008C7219"/>
    <w:rsid w:val="008C7C33"/>
    <w:rsid w:val="008D204B"/>
    <w:rsid w:val="008D6D4B"/>
    <w:rsid w:val="008D76FC"/>
    <w:rsid w:val="008E52DB"/>
    <w:rsid w:val="008E557E"/>
    <w:rsid w:val="008F232E"/>
    <w:rsid w:val="008F2D9A"/>
    <w:rsid w:val="008F33AE"/>
    <w:rsid w:val="008F6A92"/>
    <w:rsid w:val="008F6D51"/>
    <w:rsid w:val="008F7015"/>
    <w:rsid w:val="00902D3A"/>
    <w:rsid w:val="00903C05"/>
    <w:rsid w:val="00907DBD"/>
    <w:rsid w:val="00915899"/>
    <w:rsid w:val="00916B39"/>
    <w:rsid w:val="00917334"/>
    <w:rsid w:val="009176C8"/>
    <w:rsid w:val="00920106"/>
    <w:rsid w:val="009229CC"/>
    <w:rsid w:val="00923488"/>
    <w:rsid w:val="0092597A"/>
    <w:rsid w:val="0093146C"/>
    <w:rsid w:val="0093423F"/>
    <w:rsid w:val="00934378"/>
    <w:rsid w:val="009354CF"/>
    <w:rsid w:val="00935560"/>
    <w:rsid w:val="009375DB"/>
    <w:rsid w:val="00940261"/>
    <w:rsid w:val="009402EB"/>
    <w:rsid w:val="00942C61"/>
    <w:rsid w:val="009500C4"/>
    <w:rsid w:val="00951B68"/>
    <w:rsid w:val="00960E50"/>
    <w:rsid w:val="00963440"/>
    <w:rsid w:val="00964DB6"/>
    <w:rsid w:val="00967C6D"/>
    <w:rsid w:val="009810A4"/>
    <w:rsid w:val="00983D07"/>
    <w:rsid w:val="00984444"/>
    <w:rsid w:val="00984535"/>
    <w:rsid w:val="00986441"/>
    <w:rsid w:val="00987416"/>
    <w:rsid w:val="0099029C"/>
    <w:rsid w:val="00993B1C"/>
    <w:rsid w:val="00993D3F"/>
    <w:rsid w:val="009957D3"/>
    <w:rsid w:val="00996132"/>
    <w:rsid w:val="009A143F"/>
    <w:rsid w:val="009A639D"/>
    <w:rsid w:val="009B4A25"/>
    <w:rsid w:val="009B5283"/>
    <w:rsid w:val="009B6150"/>
    <w:rsid w:val="009B6186"/>
    <w:rsid w:val="009C0921"/>
    <w:rsid w:val="009C0D78"/>
    <w:rsid w:val="009C1D29"/>
    <w:rsid w:val="009C7E10"/>
    <w:rsid w:val="009D07D5"/>
    <w:rsid w:val="009D162F"/>
    <w:rsid w:val="009D2B8B"/>
    <w:rsid w:val="009D5663"/>
    <w:rsid w:val="009D57D7"/>
    <w:rsid w:val="009E3306"/>
    <w:rsid w:val="009E61B4"/>
    <w:rsid w:val="009E7802"/>
    <w:rsid w:val="009F01B9"/>
    <w:rsid w:val="009F16D6"/>
    <w:rsid w:val="009F37EB"/>
    <w:rsid w:val="009F42E5"/>
    <w:rsid w:val="00A018AD"/>
    <w:rsid w:val="00A0210F"/>
    <w:rsid w:val="00A02DF5"/>
    <w:rsid w:val="00A04864"/>
    <w:rsid w:val="00A05D25"/>
    <w:rsid w:val="00A10A1A"/>
    <w:rsid w:val="00A114FD"/>
    <w:rsid w:val="00A1162D"/>
    <w:rsid w:val="00A12C3A"/>
    <w:rsid w:val="00A21830"/>
    <w:rsid w:val="00A22808"/>
    <w:rsid w:val="00A24F42"/>
    <w:rsid w:val="00A26172"/>
    <w:rsid w:val="00A26ACB"/>
    <w:rsid w:val="00A32C67"/>
    <w:rsid w:val="00A37901"/>
    <w:rsid w:val="00A37960"/>
    <w:rsid w:val="00A37C75"/>
    <w:rsid w:val="00A418AB"/>
    <w:rsid w:val="00A42C1D"/>
    <w:rsid w:val="00A4518A"/>
    <w:rsid w:val="00A4561B"/>
    <w:rsid w:val="00A46932"/>
    <w:rsid w:val="00A47EA6"/>
    <w:rsid w:val="00A50942"/>
    <w:rsid w:val="00A50D17"/>
    <w:rsid w:val="00A53170"/>
    <w:rsid w:val="00A541D2"/>
    <w:rsid w:val="00A5509F"/>
    <w:rsid w:val="00A602FD"/>
    <w:rsid w:val="00A64764"/>
    <w:rsid w:val="00A66B0C"/>
    <w:rsid w:val="00A66E6B"/>
    <w:rsid w:val="00A67FE4"/>
    <w:rsid w:val="00A703AF"/>
    <w:rsid w:val="00A72CFE"/>
    <w:rsid w:val="00A7404E"/>
    <w:rsid w:val="00A759C5"/>
    <w:rsid w:val="00A80A66"/>
    <w:rsid w:val="00A93C06"/>
    <w:rsid w:val="00A949F9"/>
    <w:rsid w:val="00A9705C"/>
    <w:rsid w:val="00A979B2"/>
    <w:rsid w:val="00AA129E"/>
    <w:rsid w:val="00AA18AB"/>
    <w:rsid w:val="00AB0A90"/>
    <w:rsid w:val="00AB6206"/>
    <w:rsid w:val="00AC03F5"/>
    <w:rsid w:val="00AC2222"/>
    <w:rsid w:val="00AC51C1"/>
    <w:rsid w:val="00AC686D"/>
    <w:rsid w:val="00AD7474"/>
    <w:rsid w:val="00AE5DB2"/>
    <w:rsid w:val="00AE607D"/>
    <w:rsid w:val="00AF7DF6"/>
    <w:rsid w:val="00B030F7"/>
    <w:rsid w:val="00B066C8"/>
    <w:rsid w:val="00B0705C"/>
    <w:rsid w:val="00B07A26"/>
    <w:rsid w:val="00B12FD8"/>
    <w:rsid w:val="00B139BB"/>
    <w:rsid w:val="00B1536F"/>
    <w:rsid w:val="00B16E37"/>
    <w:rsid w:val="00B21EBC"/>
    <w:rsid w:val="00B22BD6"/>
    <w:rsid w:val="00B23BDE"/>
    <w:rsid w:val="00B3196D"/>
    <w:rsid w:val="00B3255F"/>
    <w:rsid w:val="00B3386B"/>
    <w:rsid w:val="00B35758"/>
    <w:rsid w:val="00B52FD6"/>
    <w:rsid w:val="00B5681A"/>
    <w:rsid w:val="00B61B3D"/>
    <w:rsid w:val="00B62C32"/>
    <w:rsid w:val="00B648FE"/>
    <w:rsid w:val="00B6502D"/>
    <w:rsid w:val="00B65DBB"/>
    <w:rsid w:val="00B67CC2"/>
    <w:rsid w:val="00B70D5D"/>
    <w:rsid w:val="00B715FF"/>
    <w:rsid w:val="00B72492"/>
    <w:rsid w:val="00B770BC"/>
    <w:rsid w:val="00B80E41"/>
    <w:rsid w:val="00B93C48"/>
    <w:rsid w:val="00B97926"/>
    <w:rsid w:val="00BA086C"/>
    <w:rsid w:val="00BA2D8E"/>
    <w:rsid w:val="00BB26EF"/>
    <w:rsid w:val="00BB2C4F"/>
    <w:rsid w:val="00BB2C81"/>
    <w:rsid w:val="00BB3C11"/>
    <w:rsid w:val="00BB57B2"/>
    <w:rsid w:val="00BB6B2D"/>
    <w:rsid w:val="00BC0018"/>
    <w:rsid w:val="00BC056A"/>
    <w:rsid w:val="00BC1D95"/>
    <w:rsid w:val="00BC3F5D"/>
    <w:rsid w:val="00BC7DC7"/>
    <w:rsid w:val="00BD18BD"/>
    <w:rsid w:val="00BD1A1F"/>
    <w:rsid w:val="00BE5C83"/>
    <w:rsid w:val="00BE729B"/>
    <w:rsid w:val="00BE7959"/>
    <w:rsid w:val="00BF3A10"/>
    <w:rsid w:val="00C00DCA"/>
    <w:rsid w:val="00C01AA2"/>
    <w:rsid w:val="00C05E97"/>
    <w:rsid w:val="00C07F05"/>
    <w:rsid w:val="00C1008D"/>
    <w:rsid w:val="00C1144C"/>
    <w:rsid w:val="00C149B5"/>
    <w:rsid w:val="00C1748E"/>
    <w:rsid w:val="00C17999"/>
    <w:rsid w:val="00C200E4"/>
    <w:rsid w:val="00C223C7"/>
    <w:rsid w:val="00C31202"/>
    <w:rsid w:val="00C31FD6"/>
    <w:rsid w:val="00C321B6"/>
    <w:rsid w:val="00C410CD"/>
    <w:rsid w:val="00C41B3E"/>
    <w:rsid w:val="00C42E90"/>
    <w:rsid w:val="00C51160"/>
    <w:rsid w:val="00C51ED5"/>
    <w:rsid w:val="00C54BA9"/>
    <w:rsid w:val="00C57A7F"/>
    <w:rsid w:val="00C57C1E"/>
    <w:rsid w:val="00C61110"/>
    <w:rsid w:val="00C66369"/>
    <w:rsid w:val="00C678E6"/>
    <w:rsid w:val="00C701F8"/>
    <w:rsid w:val="00C7165A"/>
    <w:rsid w:val="00C717F9"/>
    <w:rsid w:val="00C71833"/>
    <w:rsid w:val="00C724F8"/>
    <w:rsid w:val="00C75287"/>
    <w:rsid w:val="00C75973"/>
    <w:rsid w:val="00C77F9C"/>
    <w:rsid w:val="00C80767"/>
    <w:rsid w:val="00C820CE"/>
    <w:rsid w:val="00C8376D"/>
    <w:rsid w:val="00C839BE"/>
    <w:rsid w:val="00C83D44"/>
    <w:rsid w:val="00C85E62"/>
    <w:rsid w:val="00C867CE"/>
    <w:rsid w:val="00C878F0"/>
    <w:rsid w:val="00C922D1"/>
    <w:rsid w:val="00C9345F"/>
    <w:rsid w:val="00C95749"/>
    <w:rsid w:val="00C9609C"/>
    <w:rsid w:val="00C96326"/>
    <w:rsid w:val="00C97A39"/>
    <w:rsid w:val="00CA0C0B"/>
    <w:rsid w:val="00CA1C83"/>
    <w:rsid w:val="00CA494D"/>
    <w:rsid w:val="00CA703F"/>
    <w:rsid w:val="00CB15F8"/>
    <w:rsid w:val="00CB4B26"/>
    <w:rsid w:val="00CB4BEE"/>
    <w:rsid w:val="00CC4D99"/>
    <w:rsid w:val="00CC7BFD"/>
    <w:rsid w:val="00CD026D"/>
    <w:rsid w:val="00CD16B7"/>
    <w:rsid w:val="00CE0335"/>
    <w:rsid w:val="00CE0D99"/>
    <w:rsid w:val="00CE138B"/>
    <w:rsid w:val="00CE43B5"/>
    <w:rsid w:val="00CE4CA8"/>
    <w:rsid w:val="00CE7FD4"/>
    <w:rsid w:val="00CF0315"/>
    <w:rsid w:val="00CF0773"/>
    <w:rsid w:val="00CF1C40"/>
    <w:rsid w:val="00CF4B25"/>
    <w:rsid w:val="00CF69D3"/>
    <w:rsid w:val="00CF7554"/>
    <w:rsid w:val="00D0043A"/>
    <w:rsid w:val="00D02325"/>
    <w:rsid w:val="00D04727"/>
    <w:rsid w:val="00D07834"/>
    <w:rsid w:val="00D10E96"/>
    <w:rsid w:val="00D10EBA"/>
    <w:rsid w:val="00D1480F"/>
    <w:rsid w:val="00D20FEF"/>
    <w:rsid w:val="00D248C7"/>
    <w:rsid w:val="00D348D6"/>
    <w:rsid w:val="00D44834"/>
    <w:rsid w:val="00D45E4A"/>
    <w:rsid w:val="00D50E4A"/>
    <w:rsid w:val="00D53149"/>
    <w:rsid w:val="00D54F24"/>
    <w:rsid w:val="00D55A0A"/>
    <w:rsid w:val="00D56283"/>
    <w:rsid w:val="00D570A1"/>
    <w:rsid w:val="00D57534"/>
    <w:rsid w:val="00D60378"/>
    <w:rsid w:val="00D61A7C"/>
    <w:rsid w:val="00D62F77"/>
    <w:rsid w:val="00D72054"/>
    <w:rsid w:val="00D72D61"/>
    <w:rsid w:val="00D77268"/>
    <w:rsid w:val="00D84391"/>
    <w:rsid w:val="00D95226"/>
    <w:rsid w:val="00DA57BC"/>
    <w:rsid w:val="00DB6202"/>
    <w:rsid w:val="00DC1594"/>
    <w:rsid w:val="00DC3A0B"/>
    <w:rsid w:val="00DD1D00"/>
    <w:rsid w:val="00DD42BA"/>
    <w:rsid w:val="00DD46C4"/>
    <w:rsid w:val="00DF790C"/>
    <w:rsid w:val="00E039E2"/>
    <w:rsid w:val="00E03FBD"/>
    <w:rsid w:val="00E0753B"/>
    <w:rsid w:val="00E10B51"/>
    <w:rsid w:val="00E1467F"/>
    <w:rsid w:val="00E203CC"/>
    <w:rsid w:val="00E20FF8"/>
    <w:rsid w:val="00E2294E"/>
    <w:rsid w:val="00E31B08"/>
    <w:rsid w:val="00E329E4"/>
    <w:rsid w:val="00E3328B"/>
    <w:rsid w:val="00E37E87"/>
    <w:rsid w:val="00E42923"/>
    <w:rsid w:val="00E53601"/>
    <w:rsid w:val="00E54383"/>
    <w:rsid w:val="00E5638F"/>
    <w:rsid w:val="00E57786"/>
    <w:rsid w:val="00E6009F"/>
    <w:rsid w:val="00E6424A"/>
    <w:rsid w:val="00E64ECC"/>
    <w:rsid w:val="00E66C6B"/>
    <w:rsid w:val="00E72AF5"/>
    <w:rsid w:val="00E77567"/>
    <w:rsid w:val="00E80DA5"/>
    <w:rsid w:val="00E82F6C"/>
    <w:rsid w:val="00E870E6"/>
    <w:rsid w:val="00E92316"/>
    <w:rsid w:val="00E947C0"/>
    <w:rsid w:val="00EA052A"/>
    <w:rsid w:val="00EA1948"/>
    <w:rsid w:val="00EA4C0B"/>
    <w:rsid w:val="00EA5CAE"/>
    <w:rsid w:val="00EB0ADD"/>
    <w:rsid w:val="00EB0F63"/>
    <w:rsid w:val="00EC37CA"/>
    <w:rsid w:val="00EC53D2"/>
    <w:rsid w:val="00EC6858"/>
    <w:rsid w:val="00EC6A01"/>
    <w:rsid w:val="00ED0667"/>
    <w:rsid w:val="00ED2D37"/>
    <w:rsid w:val="00ED47E1"/>
    <w:rsid w:val="00ED5DE9"/>
    <w:rsid w:val="00EE3039"/>
    <w:rsid w:val="00EE5172"/>
    <w:rsid w:val="00EF2FA7"/>
    <w:rsid w:val="00EF6BF5"/>
    <w:rsid w:val="00F0374F"/>
    <w:rsid w:val="00F04687"/>
    <w:rsid w:val="00F04BCC"/>
    <w:rsid w:val="00F163CD"/>
    <w:rsid w:val="00F164BF"/>
    <w:rsid w:val="00F2093F"/>
    <w:rsid w:val="00F224CF"/>
    <w:rsid w:val="00F226CF"/>
    <w:rsid w:val="00F2635E"/>
    <w:rsid w:val="00F2685E"/>
    <w:rsid w:val="00F27D69"/>
    <w:rsid w:val="00F32840"/>
    <w:rsid w:val="00F33905"/>
    <w:rsid w:val="00F34D9C"/>
    <w:rsid w:val="00F40FEB"/>
    <w:rsid w:val="00F41AA5"/>
    <w:rsid w:val="00F41B5B"/>
    <w:rsid w:val="00F43B60"/>
    <w:rsid w:val="00F45BCB"/>
    <w:rsid w:val="00F5015C"/>
    <w:rsid w:val="00F501FD"/>
    <w:rsid w:val="00F61F4F"/>
    <w:rsid w:val="00F6641A"/>
    <w:rsid w:val="00F67068"/>
    <w:rsid w:val="00F7258F"/>
    <w:rsid w:val="00F75413"/>
    <w:rsid w:val="00F7654C"/>
    <w:rsid w:val="00F76B18"/>
    <w:rsid w:val="00F76D8F"/>
    <w:rsid w:val="00F81285"/>
    <w:rsid w:val="00F84A73"/>
    <w:rsid w:val="00F8634D"/>
    <w:rsid w:val="00F90D5E"/>
    <w:rsid w:val="00F91920"/>
    <w:rsid w:val="00F9591C"/>
    <w:rsid w:val="00FA1465"/>
    <w:rsid w:val="00FA48F4"/>
    <w:rsid w:val="00FA5897"/>
    <w:rsid w:val="00FA6126"/>
    <w:rsid w:val="00FA715A"/>
    <w:rsid w:val="00FB21EC"/>
    <w:rsid w:val="00FB271E"/>
    <w:rsid w:val="00FB2EFE"/>
    <w:rsid w:val="00FD1F5B"/>
    <w:rsid w:val="00FE398B"/>
    <w:rsid w:val="00FE4084"/>
    <w:rsid w:val="00FE7C79"/>
    <w:rsid w:val="00FF3338"/>
    <w:rsid w:val="00FF4B70"/>
    <w:rsid w:val="00FF571A"/>
    <w:rsid w:val="00FF7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rules v:ext="edit">
        <o:r id="V:Rule1" type="connector" idref="#_x0000_s2074"/>
        <o:r id="V:Rule2" type="connector" idref="#_x0000_s2073"/>
      </o:rules>
    </o:shapelayout>
  </w:shapeDefaults>
  <w:decimalSymbol w:val="."/>
  <w:listSeparator w:val=","/>
  <w14:docId w14:val="028F7B03"/>
  <w15:docId w15:val="{11B21556-2602-4465-8BF4-E64CB100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B42"/>
  </w:style>
  <w:style w:type="paragraph" w:styleId="Heading1">
    <w:name w:val="heading 1"/>
    <w:basedOn w:val="Normal"/>
    <w:next w:val="Normal"/>
    <w:link w:val="Heading1Char"/>
    <w:uiPriority w:val="9"/>
    <w:qFormat/>
    <w:rsid w:val="00FB2E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69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2"/>
    <w:qFormat/>
    <w:rsid w:val="00BC3F5D"/>
    <w:pPr>
      <w:keepNext/>
      <w:keepLines/>
      <w:spacing w:before="320" w:after="80"/>
      <w:jc w:val="both"/>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uiPriority w:val="9"/>
    <w:semiHidden/>
    <w:unhideWhenUsed/>
    <w:qFormat/>
    <w:rsid w:val="00C51ED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unhideWhenUsed/>
    <w:qFormat/>
    <w:rsid w:val="00116A6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8EB"/>
    <w:rPr>
      <w:rFonts w:ascii="Tahoma" w:hAnsi="Tahoma" w:cs="Tahoma"/>
      <w:sz w:val="16"/>
      <w:szCs w:val="16"/>
    </w:rPr>
  </w:style>
  <w:style w:type="character" w:customStyle="1" w:styleId="Heading3Char">
    <w:name w:val="Heading 3 Char"/>
    <w:basedOn w:val="DefaultParagraphFont"/>
    <w:link w:val="Heading3"/>
    <w:uiPriority w:val="2"/>
    <w:rsid w:val="00BC3F5D"/>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BC3F5D"/>
    <w:rPr>
      <w:vertAlign w:val="superscript"/>
    </w:rPr>
  </w:style>
  <w:style w:type="paragraph" w:styleId="Header">
    <w:name w:val="header"/>
    <w:basedOn w:val="Normal"/>
    <w:link w:val="HeaderChar"/>
    <w:uiPriority w:val="99"/>
    <w:unhideWhenUsed/>
    <w:rsid w:val="00727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D84"/>
  </w:style>
  <w:style w:type="paragraph" w:styleId="Footer">
    <w:name w:val="footer"/>
    <w:basedOn w:val="Normal"/>
    <w:link w:val="FooterChar"/>
    <w:uiPriority w:val="99"/>
    <w:unhideWhenUsed/>
    <w:rsid w:val="00727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D84"/>
  </w:style>
  <w:style w:type="character" w:customStyle="1" w:styleId="Heading7Char">
    <w:name w:val="Heading 7 Char"/>
    <w:basedOn w:val="DefaultParagraphFont"/>
    <w:link w:val="Heading7"/>
    <w:uiPriority w:val="9"/>
    <w:rsid w:val="00116A69"/>
    <w:rPr>
      <w:rFonts w:asciiTheme="majorHAnsi" w:eastAsiaTheme="majorEastAsia" w:hAnsiTheme="majorHAnsi" w:cstheme="majorBidi"/>
      <w:i/>
      <w:iCs/>
      <w:color w:val="404040" w:themeColor="text1" w:themeTint="BF"/>
    </w:rPr>
  </w:style>
  <w:style w:type="table" w:styleId="TableGrid">
    <w:name w:val="Table Grid"/>
    <w:basedOn w:val="TableNormal"/>
    <w:uiPriority w:val="39"/>
    <w:qFormat/>
    <w:rsid w:val="00116A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tyle12">
    <w:name w:val="_Style 12"/>
    <w:basedOn w:val="TableNormal"/>
    <w:qFormat/>
    <w:rsid w:val="00116A69"/>
    <w:pPr>
      <w:spacing w:after="0" w:line="240" w:lineRule="auto"/>
    </w:pPr>
    <w:rPr>
      <w:rFonts w:ascii="Times New Roman" w:eastAsia="SimSun" w:hAnsi="Times New Roman" w:cs="Times New Roman"/>
      <w:sz w:val="20"/>
      <w:szCs w:val="20"/>
      <w:lang w:val="en-MY" w:eastAsia="en-MY"/>
    </w:rPr>
    <w:tblPr>
      <w:tblCellMar>
        <w:top w:w="100" w:type="dxa"/>
        <w:left w:w="100" w:type="dxa"/>
        <w:bottom w:w="100" w:type="dxa"/>
        <w:right w:w="100" w:type="dxa"/>
      </w:tblCellMar>
    </w:tblPr>
  </w:style>
  <w:style w:type="character" w:styleId="Hyperlink">
    <w:name w:val="Hyperlink"/>
    <w:basedOn w:val="DefaultParagraphFont"/>
    <w:uiPriority w:val="99"/>
    <w:unhideWhenUsed/>
    <w:qFormat/>
    <w:rsid w:val="00116A69"/>
    <w:rPr>
      <w:color w:val="0000FF"/>
      <w:u w:val="single"/>
    </w:rPr>
  </w:style>
  <w:style w:type="paragraph" w:styleId="ListParagraph">
    <w:name w:val="List Paragraph"/>
    <w:basedOn w:val="Normal"/>
    <w:uiPriority w:val="34"/>
    <w:qFormat/>
    <w:rsid w:val="003F3852"/>
    <w:pPr>
      <w:ind w:left="720"/>
      <w:contextualSpacing/>
    </w:pPr>
  </w:style>
  <w:style w:type="character" w:styleId="FollowedHyperlink">
    <w:name w:val="FollowedHyperlink"/>
    <w:basedOn w:val="DefaultParagraphFont"/>
    <w:uiPriority w:val="99"/>
    <w:semiHidden/>
    <w:unhideWhenUsed/>
    <w:rsid w:val="000513A2"/>
    <w:rPr>
      <w:color w:val="800080" w:themeColor="followedHyperlink"/>
      <w:u w:val="single"/>
    </w:rPr>
  </w:style>
  <w:style w:type="character" w:customStyle="1" w:styleId="Heading4Char">
    <w:name w:val="Heading 4 Char"/>
    <w:basedOn w:val="DefaultParagraphFont"/>
    <w:link w:val="Heading4"/>
    <w:uiPriority w:val="9"/>
    <w:semiHidden/>
    <w:rsid w:val="00C51ED5"/>
    <w:rPr>
      <w:rFonts w:asciiTheme="majorHAnsi" w:eastAsiaTheme="majorEastAsia" w:hAnsiTheme="majorHAnsi" w:cstheme="majorBidi"/>
      <w:b/>
      <w:bCs/>
      <w:i/>
      <w:iCs/>
      <w:color w:val="4F81BD" w:themeColor="accent1"/>
    </w:rPr>
  </w:style>
  <w:style w:type="table" w:customStyle="1" w:styleId="TableGrid0">
    <w:name w:val="TableGrid"/>
    <w:rsid w:val="0057688C"/>
    <w:pPr>
      <w:spacing w:after="0" w:line="240" w:lineRule="auto"/>
    </w:pPr>
    <w:rPr>
      <w:rFonts w:eastAsiaTheme="minorEastAsia"/>
    </w:rPr>
    <w:tblPr>
      <w:tblCellMar>
        <w:top w:w="0" w:type="dxa"/>
        <w:left w:w="0" w:type="dxa"/>
        <w:bottom w:w="0" w:type="dxa"/>
        <w:right w:w="0" w:type="dxa"/>
      </w:tblCellMar>
    </w:tblPr>
  </w:style>
  <w:style w:type="paragraph" w:customStyle="1" w:styleId="MDPI13authornames">
    <w:name w:val="MDPI_1.3_authornames"/>
    <w:next w:val="Normal"/>
    <w:qFormat/>
    <w:rsid w:val="00ED2D37"/>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character" w:styleId="Strong">
    <w:name w:val="Strong"/>
    <w:basedOn w:val="DefaultParagraphFont"/>
    <w:uiPriority w:val="22"/>
    <w:qFormat/>
    <w:rsid w:val="00BC7DC7"/>
    <w:rPr>
      <w:b/>
      <w:bCs/>
    </w:rPr>
  </w:style>
  <w:style w:type="paragraph" w:customStyle="1" w:styleId="AuthorList">
    <w:name w:val="Author List"/>
    <w:aliases w:val="Keywords,Abstract"/>
    <w:basedOn w:val="Subtitle"/>
    <w:next w:val="Normal"/>
    <w:uiPriority w:val="1"/>
    <w:qFormat/>
    <w:rsid w:val="00426080"/>
    <w:pPr>
      <w:numPr>
        <w:ilvl w:val="0"/>
      </w:numPr>
      <w:spacing w:before="240" w:after="240" w:line="240" w:lineRule="auto"/>
    </w:pPr>
    <w:rPr>
      <w:rFonts w:ascii="Times New Roman" w:eastAsiaTheme="minorHAnsi" w:hAnsi="Times New Roman" w:cs="Times New Roman"/>
      <w:b/>
      <w:i w:val="0"/>
      <w:iCs w:val="0"/>
      <w:color w:val="auto"/>
      <w:spacing w:val="0"/>
    </w:rPr>
  </w:style>
  <w:style w:type="paragraph" w:styleId="Subtitle">
    <w:name w:val="Subtitle"/>
    <w:basedOn w:val="Normal"/>
    <w:next w:val="Normal"/>
    <w:link w:val="SubtitleChar"/>
    <w:uiPriority w:val="11"/>
    <w:qFormat/>
    <w:rsid w:val="004260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26080"/>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FB2EFE"/>
    <w:rPr>
      <w:rFonts w:asciiTheme="majorHAnsi" w:eastAsiaTheme="majorEastAsia" w:hAnsiTheme="majorHAnsi" w:cstheme="majorBidi"/>
      <w:b/>
      <w:bCs/>
      <w:color w:val="365F91" w:themeColor="accent1" w:themeShade="BF"/>
      <w:sz w:val="28"/>
      <w:szCs w:val="28"/>
    </w:rPr>
  </w:style>
  <w:style w:type="character" w:customStyle="1" w:styleId="sc-provx">
    <w:name w:val="sc-provx"/>
    <w:basedOn w:val="DefaultParagraphFont"/>
    <w:rsid w:val="00FA6126"/>
  </w:style>
  <w:style w:type="character" w:customStyle="1" w:styleId="Heading2Char">
    <w:name w:val="Heading 2 Char"/>
    <w:basedOn w:val="DefaultParagraphFont"/>
    <w:link w:val="Heading2"/>
    <w:uiPriority w:val="9"/>
    <w:rsid w:val="002C6969"/>
    <w:rPr>
      <w:rFonts w:asciiTheme="majorHAnsi" w:eastAsiaTheme="majorEastAsia" w:hAnsiTheme="majorHAnsi" w:cstheme="majorBidi"/>
      <w:b/>
      <w:bCs/>
      <w:color w:val="4F81BD" w:themeColor="accent1"/>
      <w:sz w:val="26"/>
      <w:szCs w:val="26"/>
    </w:rPr>
  </w:style>
  <w:style w:type="table" w:customStyle="1" w:styleId="PlainTable21">
    <w:name w:val="Plain Table 21"/>
    <w:basedOn w:val="TableNormal"/>
    <w:uiPriority w:val="42"/>
    <w:rsid w:val="00CE43B5"/>
    <w:pPr>
      <w:spacing w:after="0" w:line="240" w:lineRule="auto"/>
    </w:pPr>
    <w:rPr>
      <w:rFonts w:ascii="Calibri" w:eastAsia="SimSun" w:hAnsi="Calibri" w:cs="Times New Roman"/>
      <w:sz w:val="20"/>
      <w:szCs w:val="20"/>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CE43B5"/>
    <w:pPr>
      <w:spacing w:after="0" w:line="240" w:lineRule="auto"/>
    </w:pPr>
    <w:rPr>
      <w:rFonts w:ascii="Calibri" w:eastAsia="SimSun" w:hAnsi="Calibri" w:cs="Times New Roman"/>
      <w:sz w:val="20"/>
      <w:szCs w:val="20"/>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MDPI71References">
    <w:name w:val="MDPI_7.1_References"/>
    <w:qFormat/>
    <w:rsid w:val="00B030F7"/>
    <w:pPr>
      <w:numPr>
        <w:numId w:val="2"/>
      </w:numPr>
      <w:adjustRightInd w:val="0"/>
      <w:snapToGrid w:val="0"/>
      <w:spacing w:after="0" w:line="228" w:lineRule="auto"/>
      <w:jc w:val="both"/>
    </w:pPr>
    <w:rPr>
      <w:rFonts w:ascii="Palatino Linotype" w:eastAsia="Times New Roman" w:hAnsi="Palatino Linotype" w:cs="Times New Roman"/>
      <w:color w:val="000000"/>
      <w:sz w:val="18"/>
      <w:szCs w:val="20"/>
      <w:lang w:eastAsia="de-DE" w:bidi="en-US"/>
    </w:rPr>
  </w:style>
  <w:style w:type="character" w:styleId="Emphasis">
    <w:name w:val="Emphasis"/>
    <w:basedOn w:val="DefaultParagraphFont"/>
    <w:uiPriority w:val="20"/>
    <w:qFormat/>
    <w:rsid w:val="001E29D0"/>
    <w:rPr>
      <w:i/>
      <w:iCs/>
    </w:rPr>
  </w:style>
  <w:style w:type="paragraph" w:styleId="NormalWeb">
    <w:name w:val="Normal (Web)"/>
    <w:basedOn w:val="Normal"/>
    <w:uiPriority w:val="99"/>
    <w:semiHidden/>
    <w:unhideWhenUsed/>
    <w:rsid w:val="008A3975"/>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CommentReference">
    <w:name w:val="annotation reference"/>
    <w:basedOn w:val="DefaultParagraphFont"/>
    <w:uiPriority w:val="99"/>
    <w:semiHidden/>
    <w:unhideWhenUsed/>
    <w:rsid w:val="005222B8"/>
    <w:rPr>
      <w:sz w:val="16"/>
      <w:szCs w:val="16"/>
    </w:rPr>
  </w:style>
  <w:style w:type="paragraph" w:styleId="CommentText">
    <w:name w:val="annotation text"/>
    <w:basedOn w:val="Normal"/>
    <w:link w:val="CommentTextChar"/>
    <w:uiPriority w:val="99"/>
    <w:semiHidden/>
    <w:unhideWhenUsed/>
    <w:rsid w:val="005222B8"/>
    <w:pPr>
      <w:spacing w:line="240" w:lineRule="auto"/>
    </w:pPr>
    <w:rPr>
      <w:sz w:val="20"/>
      <w:szCs w:val="20"/>
    </w:rPr>
  </w:style>
  <w:style w:type="character" w:customStyle="1" w:styleId="CommentTextChar">
    <w:name w:val="Comment Text Char"/>
    <w:basedOn w:val="DefaultParagraphFont"/>
    <w:link w:val="CommentText"/>
    <w:uiPriority w:val="99"/>
    <w:semiHidden/>
    <w:rsid w:val="005222B8"/>
    <w:rPr>
      <w:sz w:val="20"/>
      <w:szCs w:val="20"/>
    </w:rPr>
  </w:style>
  <w:style w:type="paragraph" w:styleId="CommentSubject">
    <w:name w:val="annotation subject"/>
    <w:basedOn w:val="CommentText"/>
    <w:next w:val="CommentText"/>
    <w:link w:val="CommentSubjectChar"/>
    <w:uiPriority w:val="99"/>
    <w:semiHidden/>
    <w:unhideWhenUsed/>
    <w:rsid w:val="005222B8"/>
    <w:rPr>
      <w:b/>
      <w:bCs/>
    </w:rPr>
  </w:style>
  <w:style w:type="character" w:customStyle="1" w:styleId="CommentSubjectChar">
    <w:name w:val="Comment Subject Char"/>
    <w:basedOn w:val="CommentTextChar"/>
    <w:link w:val="CommentSubject"/>
    <w:uiPriority w:val="99"/>
    <w:semiHidden/>
    <w:rsid w:val="005222B8"/>
    <w:rPr>
      <w:b/>
      <w:bCs/>
      <w:sz w:val="20"/>
      <w:szCs w:val="20"/>
    </w:rPr>
  </w:style>
  <w:style w:type="character" w:customStyle="1" w:styleId="UnresolvedMention1">
    <w:name w:val="Unresolved Mention1"/>
    <w:basedOn w:val="DefaultParagraphFont"/>
    <w:uiPriority w:val="99"/>
    <w:semiHidden/>
    <w:unhideWhenUsed/>
    <w:rsid w:val="00C54BA9"/>
    <w:rPr>
      <w:color w:val="605E5C"/>
      <w:shd w:val="clear" w:color="auto" w:fill="E1DFDD"/>
    </w:rPr>
  </w:style>
  <w:style w:type="character" w:styleId="LineNumber">
    <w:name w:val="line number"/>
    <w:basedOn w:val="DefaultParagraphFont"/>
    <w:uiPriority w:val="99"/>
    <w:semiHidden/>
    <w:unhideWhenUsed/>
    <w:rsid w:val="00055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3771">
      <w:bodyDiv w:val="1"/>
      <w:marLeft w:val="0"/>
      <w:marRight w:val="0"/>
      <w:marTop w:val="0"/>
      <w:marBottom w:val="0"/>
      <w:divBdr>
        <w:top w:val="none" w:sz="0" w:space="0" w:color="auto"/>
        <w:left w:val="none" w:sz="0" w:space="0" w:color="auto"/>
        <w:bottom w:val="none" w:sz="0" w:space="0" w:color="auto"/>
        <w:right w:val="none" w:sz="0" w:space="0" w:color="auto"/>
      </w:divBdr>
    </w:div>
    <w:div w:id="97788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B37DFE-BD4E-46CE-9F82-513B734C5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7957</TotalTime>
  <Pages>1</Pages>
  <Words>6244</Words>
  <Characters>35595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Baudrul Mohammad Shahjalal</cp:lastModifiedBy>
  <cp:revision>850</cp:revision>
  <cp:lastPrinted>2026-01-06T20:09:00Z</cp:lastPrinted>
  <dcterms:created xsi:type="dcterms:W3CDTF">2023-12-27T10:45:00Z</dcterms:created>
  <dcterms:modified xsi:type="dcterms:W3CDTF">2026-01-06T20:09:00Z</dcterms:modified>
</cp:coreProperties>
</file>